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Resignation of trustee</w:t>
      </w:r>
    </w:p>
    <w:p>
      <w:pPr>
        <w:jc w:val="both"/>
        <w:spacing w:before="100" w:after="100"/>
        <w:ind w:start="360"/>
        <w:ind w:firstLine="360"/>
      </w:pPr>
      <w:r>
        <w:rPr>
          <w:b/>
        </w:rPr>
        <w:t>1</w:t>
        <w:t xml:space="preserve">.  </w:t>
      </w:r>
      <w:r>
        <w:rPr>
          <w:b/>
        </w:rPr>
        <w:t xml:space="preserve">Resignation.</w:t>
        <w:t xml:space="preserve"> </w:t>
      </w:r>
      <w:r>
        <w:t xml:space="preserve"> </w:t>
      </w:r>
      <w:r>
        <w:t xml:space="preserve">A trustee may resign:</w:t>
      </w:r>
    </w:p>
    <w:p>
      <w:pPr>
        <w:jc w:val="both"/>
        <w:spacing w:before="100" w:after="0"/>
        <w:ind w:start="720"/>
      </w:pPr>
      <w:r>
        <w:rPr/>
        <w:t>A</w:t>
        <w:t xml:space="preserve">.  </w:t>
      </w:r>
      <w:r>
        <w:rPr/>
      </w:r>
      <w:r>
        <w:t xml:space="preserve">Upon at least 30 days' notice to the qualified beneficiaries, the settlor, if living, and all cotrustees;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With the approval of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Approval by court.</w:t>
        <w:t xml:space="preserve"> </w:t>
      </w:r>
      <w:r>
        <w:t xml:space="preserve"> </w:t>
      </w:r>
      <w:r>
        <w:t xml:space="preserve">In approving a resignation, the court may issue orders and impose conditions reasonably necessary for the protection of the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Liability.</w:t>
        <w:t xml:space="preserve"> </w:t>
      </w:r>
      <w:r>
        <w:t xml:space="preserve"> </w:t>
      </w:r>
      <w:r>
        <w:t xml:space="preserve">Any liability of a resigning trustee or of any sureties on the trustee's bond for acts or omissions of the trustee is not discharged or affected by the trustee's resignation.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Resignation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Resignation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§705. RESIGNATION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