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2107</w:t>
        <w:t xml:space="preserve">.  </w:t>
      </w:r>
      <w:r>
        <w:rPr>
          <w:b/>
        </w:rPr>
        <w:t xml:space="preserve">Limitations on trust director</w:t>
      </w:r>
    </w:p>
    <w:p>
      <w:pPr>
        <w:jc w:val="both"/>
        <w:spacing w:before="100" w:after="100"/>
        <w:ind w:start="360"/>
        <w:ind w:firstLine="360"/>
      </w:pPr>
      <w:r>
        <w:rPr/>
      </w:r>
      <w:r>
        <w:rPr/>
      </w:r>
      <w:r>
        <w:t xml:space="preserve">A trust director is subject to the same rules as a trustee in a like position and under similar circumstances in the exercise or nonexercise of a power of direction or further power under </w:t>
      </w:r>
      <w:r>
        <w:t>section 2106, subsection 2, paragraph A</w:t>
      </w:r>
      <w:r>
        <w:t xml:space="preserve"> regarding:</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w:pPr>
        <w:jc w:val="both"/>
        <w:spacing w:before="100" w:after="0"/>
        <w:ind w:start="360"/>
        <w:ind w:firstLine="360"/>
      </w:pPr>
      <w:r>
        <w:rPr>
          <w:b/>
        </w:rPr>
        <w:t>1</w:t>
        <w:t xml:space="preserve">.  </w:t>
      </w:r>
      <w:r>
        <w:rPr>
          <w:b/>
        </w:rPr>
        <w:t xml:space="preserve">Medicaid payback provision.</w:t>
        <w:t xml:space="preserve"> </w:t>
      </w:r>
      <w:r>
        <w:t xml:space="preserve"> </w:t>
      </w:r>
      <w:r>
        <w:t xml:space="preserve">A payback provision in the terms of a trust necessary to comply with the reimbursement requirements of Medicaid law in </w:t>
      </w:r>
      <w:r>
        <w:t>Section 1917</w:t>
      </w:r>
      <w:r>
        <w:t xml:space="preserve"> of the federal Social Security Act, 42 United States Code, </w:t>
      </w:r>
      <w:r>
        <w:t>Section 1396p(d)(4</w:t>
      </w:r>
      <w:r>
        <w:t xml:space="preserve">)(A);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2</w:t>
        <w:t xml:space="preserve">.  </w:t>
      </w:r>
      <w:r>
        <w:rPr>
          <w:b/>
        </w:rPr>
        <w:t xml:space="preserve">Charitable interest.</w:t>
        <w:t xml:space="preserve"> </w:t>
      </w:r>
      <w:r>
        <w:t xml:space="preserve"> </w:t>
      </w:r>
      <w:r>
        <w:t xml:space="preserve">A charitable interest in the trust, including notice regarding the interest to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§2107. Limitations on trust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§2107. Limitations on trust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§2107. LIMITATIONS ON TRUST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