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6-302</w:t>
        <w:t xml:space="preserve">.  </w:t>
      </w:r>
      <w:r>
        <w:rPr>
          <w:b/>
        </w:rPr>
        <w:t xml:space="preserve">Registration in beneficiary form; sole or joint tenancy ownership</w:t>
      </w:r>
    </w:p>
    <w:p>
      <w:pPr>
        <w:jc w:val="both"/>
        <w:spacing w:before="100" w:after="100"/>
        <w:ind w:start="360"/>
        <w:ind w:firstLine="360"/>
      </w:pPr>
      <w:r>
        <w:rPr/>
      </w:r>
      <w:r>
        <w:rPr/>
      </w:r>
      <w:r>
        <w:t xml:space="preserve">Only individuals whose registration of a security shows sole ownership by one individual or multiple ownership by 2 or more individuals with right of survivorship, rather than as tenants in common, may obtain registration in beneficiary form.  Multiple owners of a security registered in beneficiary form hold as joint tenants with right of survivorship and not as tenants in common.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§6-302. Registration in beneficiary form; sole or joint tenancy ownership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§6-302. Registration in beneficiary form; sole or joint tenancy ownership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§6-302. REGISTRATION IN BENEFICIARY FORM; SOLE OR JOINT TENANCY OWNERSHIP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