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§5-807. Decisions by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§5-807. Decisions by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§5-807. DECISIONS BY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