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5-704</w:t>
        <w:t xml:space="preserve">.  </w:t>
      </w:r>
      <w:r>
        <w:rPr>
          <w:b/>
        </w:rPr>
        <w:t xml:space="preserve">Nomination of public guardian or conservator</w:t>
      </w:r>
    </w:p>
    <w:p>
      <w:pPr>
        <w:jc w:val="both"/>
        <w:spacing w:before="100" w:after="0"/>
        <w:ind w:start="360"/>
        <w:ind w:firstLine="360"/>
      </w:pPr>
      <w:r>
        <w:rPr>
          <w:b/>
        </w:rPr>
        <w:t>1</w:t>
        <w:t xml:space="preserve">.  </w:t>
      </w:r>
      <w:r>
        <w:rPr>
          <w:b/>
        </w:rPr>
        <w:t xml:space="preserve">Nomination of public guardian.</w:t>
        <w:t xml:space="preserve"> </w:t>
      </w:r>
      <w:r>
        <w:t xml:space="preserve"> </w:t>
      </w:r>
      <w:r>
        <w:t xml:space="preserve">Any person who is eligible to petition for appointment of a guardian under </w:t>
      </w:r>
      <w:r>
        <w:t>section 5‑302, subsection 1</w:t>
      </w:r>
      <w:r>
        <w:t xml:space="preserve">, including the commissioner of any state department, the head of any state institution, the board of overseers and the welfare director or health officer of any municipality, may nominate the public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§5 (AMD).]</w:t>
      </w:r>
    </w:p>
    <w:p>
      <w:pPr>
        <w:jc w:val="both"/>
        <w:spacing w:before="100" w:after="0"/>
        <w:ind w:start="360"/>
        <w:ind w:firstLine="360"/>
      </w:pPr>
      <w:r>
        <w:rPr>
          <w:b/>
        </w:rPr>
        <w:t>2</w:t>
        <w:t xml:space="preserve">.  </w:t>
      </w:r>
      <w:r>
        <w:rPr>
          <w:b/>
        </w:rPr>
        <w:t xml:space="preserve">Nomination of public conservator.</w:t>
        <w:t xml:space="preserve"> </w:t>
      </w:r>
      <w:r>
        <w:t xml:space="preserve"> </w:t>
      </w:r>
      <w:r>
        <w:t xml:space="preserve">Any person who is eligible to petition for appointment of a conservator under </w:t>
      </w:r>
      <w:r>
        <w:t>section 5‑402, subsection 1</w:t>
      </w:r>
      <w:r>
        <w:t xml:space="preserve">, including the commissioner of any state department, the head of any state institution, the board of overseers and the welfare director or health officer of any municipality, may nominate the public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§5 (AMD).]</w:t>
      </w:r>
    </w:p>
    <w:p>
      <w:pPr>
        <w:jc w:val="both"/>
        <w:spacing w:before="100" w:after="0"/>
        <w:ind w:start="360"/>
        <w:ind w:firstLine="360"/>
      </w:pPr>
      <w:r>
        <w:rPr>
          <w:b/>
        </w:rPr>
        <w:t>3</w:t>
        <w:t xml:space="preserve">.  </w:t>
      </w:r>
      <w:r>
        <w:rPr>
          <w:b/>
        </w:rPr>
        <w:t xml:space="preserve">Article applies to proceedings for determining appointment.</w:t>
        <w:t xml:space="preserve"> </w:t>
      </w:r>
      <w:r>
        <w:t xml:space="preserve"> </w:t>
      </w:r>
      <w:r>
        <w:t xml:space="preserve">Except as supplemented by </w:t>
      </w:r>
      <w:r>
        <w:t>section 5‑705</w:t>
      </w:r>
      <w:r>
        <w:t xml:space="preserve">, the proceedings for determining the appointment of a public guardian or conservator are governed by the provisions of this Article for the appointment of guardians and conservators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275,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§5-704. Nomination of public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§5-704. Nomination of public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§5-704. NOMINATION OF PUBLIC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