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§5-413. Emergency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Emergency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§5-413. EMERGENCY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