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5-303</w:t>
        <w:t xml:space="preserve">.  </w:t>
      </w:r>
      <w:r>
        <w:rPr>
          <w:b/>
        </w:rPr>
        <w:t xml:space="preserve">Notice and hearing</w:t>
      </w:r>
    </w:p>
    <w:p>
      <w:pPr>
        <w:jc w:val="both"/>
        <w:spacing w:before="100" w:after="0"/>
        <w:ind w:start="360"/>
        <w:ind w:firstLine="360"/>
      </w:pPr>
      <w:r>
        <w:rPr>
          <w:b/>
        </w:rPr>
        <w:t>1</w:t>
        <w:t xml:space="preserve">.  </w:t>
      </w:r>
      <w:r>
        <w:rPr>
          <w:b/>
        </w:rPr>
        <w:t xml:space="preserve">Date, time and place for hearing.</w:t>
        <w:t xml:space="preserve"> </w:t>
      </w:r>
      <w:r>
        <w:t xml:space="preserve"> </w:t>
      </w:r>
      <w:r>
        <w:t xml:space="preserve">On receipt of a petition under </w:t>
      </w:r>
      <w:r>
        <w:t>section 5‑302</w:t>
      </w:r>
      <w:r>
        <w:t xml:space="preserve"> for appointment of a guardian for a respondent who is an adult, the court shall set a date, time and place for hearing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Notice to respondent.</w:t>
        <w:t xml:space="preserve"> </w:t>
      </w:r>
      <w:r>
        <w:t xml:space="preserve"> </w:t>
      </w:r>
      <w:r>
        <w:t xml:space="preserve">A copy of a petition under </w:t>
      </w:r>
      <w:r>
        <w:t>section 5‑302</w:t>
      </w:r>
      <w:r>
        <w:t xml:space="preserve"> and notice of a hearing on the petition must be served personally on the respondent. The notice must inform the respondent of the respondent's rights at the hearing, including the right to an attorney and to attend the hearing.  The notice must also include a description of the nature, purpose and consequences of granting the petition.  Failure to serve the respondent with notice substantially complying with this subsection precludes the court from granting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Notice to other persons.</w:t>
        <w:t xml:space="preserve"> </w:t>
      </w:r>
      <w:r>
        <w:t xml:space="preserve"> </w:t>
      </w:r>
      <w:r>
        <w:t xml:space="preserve">In a proceeding on a petition under </w:t>
      </w:r>
      <w:r>
        <w:t>section 5‑302</w:t>
      </w:r>
      <w:r>
        <w:t xml:space="preserve">, notice of the hearing also must be given to any person required to be listed in the petition under </w:t>
      </w:r>
      <w:r>
        <w:t>section 5‑302, subsection 2, paragraphs A</w:t>
      </w:r>
      <w:r>
        <w:t xml:space="preserve"> to </w:t>
      </w:r>
      <w:r>
        <w:t>C</w:t>
      </w:r>
      <w:r>
        <w:t xml:space="preserve"> and any other person the court determines is entitled to notice.  Failure to give notice under this subsection does not preclude the court from appointing a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Notice of petition after appointment.</w:t>
        <w:t xml:space="preserve"> </w:t>
      </w:r>
      <w:r>
        <w:t xml:space="preserve"> </w:t>
      </w:r>
      <w:r>
        <w:t xml:space="preserve">Notice of a hearing on a petition that is filed after the appointment of a guardian and that seeks an order under this Part, together with a copy of the petition, must be given to the adult subject to guardianship, the guardian and any other person as the court determines.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§5-303. Notice and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§5-303. Notice and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§5-303. NOTICE AND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