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5-120</w:t>
        <w:t xml:space="preserve">.  </w:t>
      </w:r>
      <w:r>
        <w:rPr>
          <w:b/>
        </w:rPr>
        <w:t xml:space="preserve">Liability of guardian or conservator for act of individual subject to guardianship or conservatorship</w:t>
      </w:r>
    </w:p>
    <w:p>
      <w:pPr>
        <w:jc w:val="both"/>
        <w:spacing w:before="100" w:after="100"/>
        <w:ind w:start="360"/>
        <w:ind w:firstLine="360"/>
      </w:pPr>
      <w:r>
        <w:rPr/>
      </w:r>
      <w:r>
        <w:rPr/>
      </w:r>
      <w:r>
        <w:t xml:space="preserve">A guardian or conservator is not personally liable to a 3rd person for the act of an individual subject to guardianship or conservatorship solely by reason of the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§5-120. Liability of guardian or conservator for act of individual subject to guardianship or conservatorship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§5-120. Liability of guardian or conservator for act of individual subject to guardianship or conservatorship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§5-120. LIABILITY OF GUARDIAN OR CONSERVATOR FOR ACT OF INDIVIDUAL SUBJECT TO GUARDIANSHIP OR CONSERVATORSHIP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