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3-101</w:t>
        <w:t xml:space="preserve">.  </w:t>
      </w:r>
      <w:r>
        <w:rPr>
          <w:b/>
        </w:rPr>
        <w:t xml:space="preserve">Devolution of estate at death; restrictions</w:t>
      </w:r>
    </w:p>
    <w:p>
      <w:pPr>
        <w:jc w:val="both"/>
        <w:spacing w:before="100" w:after="100"/>
        <w:ind w:start="360"/>
        <w:ind w:firstLine="360"/>
      </w:pPr>
      <w:r>
        <w:rPr/>
      </w:r>
      <w:r>
        <w:rPr/>
      </w:r>
      <w:r>
        <w:t xml:space="preserve">The power of a person to leave property by will and the rights of creditors, devisees and heirs to the person's property are subject to the restrictions and limitations contained in this Code to facilitate the prompt settlement of estates.  Upon the death of a person, the person's real and personal property devolves to the persons to whom it is devised by the person's last will or to those indicated as substitutes for them in cases involving lapse, renunciation or other circumstances affecting the devolution of testate estate or, in the absence of testamentary disposition, to the person's heirs, or to those indicated as substitutes for them in cases involving renunciation or other circumstances affecting devolution of intestate estates, subject to homestead allowance, exempt property and family allowance, to rights of creditors, to elective share of the surviving spouse and to administration.</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§3-101. Devolution of estate at death; restrictions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§3-101. Devolution of estate at death; restrictions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§3-101. DEVOLUTION OF ESTATE AT DEATH; RESTRICTIONS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