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Commission established</w:t>
      </w:r>
    </w:p>
    <w:p>
      <w:pPr>
        <w:jc w:val="both"/>
        <w:spacing w:before="100" w:after="100"/>
        <w:ind w:start="360"/>
        <w:ind w:firstLine="360"/>
      </w:pPr>
      <w:r>
        <w:rPr/>
      </w:r>
      <w:r>
        <w:rPr/>
      </w:r>
      <w:r>
        <w:t xml:space="preserve">The Probate and Trust Law Advisory Commission, established in </w:t>
      </w:r>
      <w:r>
        <w:t>Title 5, section 12004‑I, subsection 73‑B</w:t>
      </w:r>
      <w:r>
        <w:t xml:space="preserve"> and referred to in this Part as "the commission," is created for the purpose of conducting a continuing study of the probate and trust laws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10 members who have experience in practicing probate and trust law or are knowledgeable about probate and trust law.  The membership of the commission must include:</w:t>
      </w:r>
    </w:p>
    <w:p>
      <w:pPr>
        <w:jc w:val="both"/>
        <w:spacing w:before="100" w:after="0"/>
        <w:ind w:start="720"/>
      </w:pPr>
      <w:r>
        <w:rPr/>
        <w:t>A</w:t>
        <w:t xml:space="preserve">.  </w:t>
      </w:r>
      <w:r>
        <w:rPr/>
      </w:r>
      <w:r>
        <w:t xml:space="preserve">Two Probate Court Judges,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Superior Court Justice,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Five members of the trusts and estates law section of the Maine State Bar Association,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One member representing the interests of older people,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3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appointing authority under </w:t>
      </w:r>
      <w:r>
        <w:t>subsection 1</w:t>
      </w:r>
      <w:r>
        <w:t xml:space="preserve">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