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Reviewing compliance</w:t>
      </w:r>
    </w:p>
    <w:p>
      <w:pPr>
        <w:jc w:val="both"/>
        <w:spacing w:before="100" w:after="100"/>
        <w:ind w:start="360"/>
        <w:ind w:firstLine="360"/>
      </w:pPr>
      <w:r>
        <w:rPr/>
      </w:r>
      <w:r>
        <w:rPr/>
      </w:r>
      <w:r>
        <w:t xml:space="preserve">Compliance with the prudent investor rule is determined in light of the facts and circumstances existing at the time of a trustee's decision or action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RR 2011, c. 1,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Reviewing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Reviewing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§905. REVIEWING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