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507</w:t>
        <w:t xml:space="preserve">.  </w:t>
      </w:r>
      <w:r>
        <w:rPr>
          <w:b/>
        </w:rPr>
        <w:t xml:space="preserve">Personal obligations of trustee</w:t>
      </w:r>
    </w:p>
    <w:p>
      <w:pPr>
        <w:jc w:val="both"/>
        <w:spacing w:before="100" w:after="100"/>
        <w:ind w:start="360"/>
        <w:ind w:firstLine="360"/>
      </w:pPr>
      <w:r>
        <w:rPr/>
      </w:r>
      <w:r>
        <w:rPr/>
      </w:r>
      <w:r>
        <w:t xml:space="preserve">Trust property is not subject to personal obligations of the trustee, even if the trustee becomes insolvent or bankrupt.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§507. Personal obligations of trustee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§507. Personal obligations of trustee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§507. PERSONAL OBLIGATIONS OF TRUSTEE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