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1206</w:t>
        <w:t xml:space="preserve">.  </w:t>
      </w:r>
      <w:r>
        <w:rPr>
          <w:b/>
        </w:rPr>
        <w:t xml:space="preserve">Reasonable reliance</w:t>
      </w:r>
    </w:p>
    <w:p>
      <w:pPr>
        <w:jc w:val="both"/>
        <w:spacing w:before="100" w:after="100"/>
        <w:ind w:start="360"/>
        <w:ind w:firstLine="360"/>
      </w:pPr>
      <w:r>
        <w:rPr/>
      </w:r>
      <w:r>
        <w:rPr/>
      </w:r>
      <w:r>
        <w:t xml:space="preserve">A trustee or other person that reasonably relies on the validity of a distribution of part or all of the property of a trust to another trust, or a modification of a trust, under this Act, a law of this State other than this Act or the law of another jurisdiction is not liable to any person for any action or failure to act as a result of the reliance.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§1206. Reasonable reliance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§1206. Reasonable reliance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§1206. REASONABLE RELIANCE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