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Beneficiary's consent, release or ratification</w:t>
      </w:r>
    </w:p>
    <w:p>
      <w:pPr>
        <w:jc w:val="both"/>
        <w:spacing w:before="100" w:after="100"/>
        <w:ind w:start="360"/>
        <w:ind w:firstLine="360"/>
      </w:pPr>
      <w:r>
        <w:rPr/>
      </w:r>
      <w:r>
        <w:rPr/>
      </w:r>
      <w:r>
        <w:t xml:space="preserve">A trustee is not liable to a beneficiary for breach of trust if the beneficiary consented to the conduct constituting the breach, released the trustee from liability for the breach or ratified the transaction constituting the breach, unless: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Induced by improper conduct.</w:t>
        <w:t xml:space="preserve"> </w:t>
      </w:r>
      <w:r>
        <w:t xml:space="preserve"> </w:t>
      </w:r>
      <w:r>
        <w:t xml:space="preserve">The consent, release or ratification of the beneficiary was induced by improper conduct of the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Beneficiary did not know rights.</w:t>
        <w:t xml:space="preserve"> </w:t>
      </w:r>
      <w:r>
        <w:t xml:space="preserve"> </w:t>
      </w:r>
      <w:r>
        <w:t xml:space="preserve">At the time of the consent, release or ratification, the beneficiary did not know of the beneficiary's rights or of the material facts relating to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 Beneficiary's consent, release or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Beneficiary's consent, release or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§1009. BENEFICIARY'S CONSENT, RELEASE OR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