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§2271. Local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Local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§2271. LOCAL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