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2264-C</w:t>
        <w:t xml:space="preserve">.  </w:t>
      </w:r>
      <w:r>
        <w:rPr>
          <w:b/>
        </w:rPr>
        <w:t xml:space="preserve">Forfeiture</w:t>
      </w:r>
    </w:p>
    <w:p>
      <w:pPr>
        <w:jc w:val="both"/>
        <w:spacing w:before="100" w:after="100"/>
        <w:ind w:start="360"/>
        <w:ind w:firstLine="360"/>
      </w:pPr>
      <w:r>
        <w:rPr/>
      </w:r>
      <w:r>
        <w:rPr/>
      </w:r>
      <w:r>
        <w:t xml:space="preserve">All conveyances, including aircraft, watercraft, vehicles, vessels, containers or cranes that are used, or attempted to be used, to dump more than 1,000 pounds or more than 100 cubic feet of litter in violation of </w:t>
      </w:r>
      <w:r>
        <w:t>section 2264‑A</w:t>
      </w:r>
      <w:r>
        <w:t xml:space="preserve"> are subject to forfeiture as provided in </w:t>
      </w:r>
      <w:r>
        <w:t>Title 15, chapter 517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I, §40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 PL 2003, c. 452, §I40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§2264-C.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§2264-C.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§2264-C.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