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2261</w:t>
        <w:t xml:space="preserve">.  </w:t>
      </w:r>
      <w:r>
        <w:rPr>
          <w:b/>
        </w:rPr>
        <w:t xml:space="preserve">Title</w:t>
      </w:r>
    </w:p>
    <w:p>
      <w:pPr>
        <w:jc w:val="both"/>
        <w:spacing w:before="100" w:after="100"/>
        <w:ind w:start="360"/>
        <w:ind w:firstLine="360"/>
      </w:pPr>
      <w:r>
        <w:rPr/>
      </w:r>
      <w:r>
        <w:rPr/>
      </w:r>
      <w:r>
        <w:t xml:space="preserve">This chapter shall be known and may be cited as the "Maine Litter Control Act."</w:t>
      </w:r>
      <w:r>
        <w:t xml:space="preserve">  </w:t>
      </w:r>
      <w:r xmlns:wp="http://schemas.openxmlformats.org/drawingml/2010/wordprocessingDrawing" xmlns:w15="http://schemas.microsoft.com/office/word/2012/wordml">
        <w:rPr>
          <w:rFonts w:ascii="Arial" w:hAnsi="Arial" w:cs="Arial"/>
          <w:sz w:val="22"/>
          <w:szCs w:val="22"/>
        </w:rPr>
        <w:t xml:space="preserve">[PL 1971, c. 405,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§2261.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§2261.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§2261.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