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1846</w:t>
        <w:t xml:space="preserve">.  </w:t>
      </w:r>
      <w:r>
        <w:rPr>
          <w:b/>
        </w:rPr>
        <w:t xml:space="preserve">Vending machines</w:t>
      </w:r>
    </w:p>
    <w:p>
      <w:pPr>
        <w:jc w:val="both"/>
        <w:spacing w:before="100" w:after="100"/>
        <w:ind w:start="360"/>
        <w:ind w:firstLine="360"/>
      </w:pPr>
      <w:r>
        <w:rPr/>
      </w:r>
      <w:r>
        <w:rPr/>
      </w:r>
      <w:r>
        <w:t xml:space="preserve">Nothing in this chapter applies to vending machines the primary purpose of which is to dispense beverages, candy, fruit or other food items when a coin or bills are inserted into the machine.</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§1846. Vending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§1846. Vending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§1846. VENDING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