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Out-of-state gambling</w:t>
      </w:r>
    </w:p>
    <w:p>
      <w:pPr>
        <w:jc w:val="both"/>
        <w:spacing w:before="100" w:after="100"/>
        <w:ind w:start="360"/>
        <w:ind w:firstLine="360"/>
      </w:pPr>
      <w:r>
        <w:rPr/>
      </w:r>
      <w:r>
        <w:rPr/>
      </w:r>
      <w:r>
        <w:t xml:space="preserve">In any prosecution under this chapter it is not a defense that the gambling activity, including the drawing of a lottery, which is involved in the illegal conduct takes place outside this State and is not in violation of the laws of the jurisdiction in which the lottery or other activity takes place.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Out-of-state gambling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Out-of-state gambling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§957. OUT-OF-STATE GAMBLING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