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§752-C. Assault on an emergency medical services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§752-C. Assault on an emergency medical services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§752-C. ASSAULT ON AN EMERGENCY MEDICAL SERVICES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