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Suppressing recordable instrument</w:t>
      </w:r>
    </w:p>
    <w:p>
      <w:pPr>
        <w:jc w:val="both"/>
        <w:spacing w:before="100" w:after="0"/>
        <w:ind w:start="360"/>
        <w:ind w:firstLine="360"/>
      </w:pPr>
      <w:r>
        <w:rPr>
          <w:b/>
        </w:rPr>
        <w:t>1</w:t>
        <w:t xml:space="preserve">.  </w:t>
      </w:r>
      <w:r>
        <w:rPr>
          <w:b/>
        </w:rPr>
      </w:r>
      <w:r>
        <w:t xml:space="preserve"> </w:t>
      </w:r>
      <w:r>
        <w:t xml:space="preserve">A person is guilty of suppressing a recordable instrument if, with intent to defraud anyone, he falsifies, destroys, removes or conceals any will, deed, mortgage, security instrument or other writing for which the law provides public recording, whether or not it is in fact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Suppressing a recordable instrument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Suppressing recordable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Suppressing recordable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§706. SUPPRESSING RECORDABLE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