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Failure to report treatment of a gunshot wound</w:t>
      </w:r>
    </w:p>
    <w:p>
      <w:pPr>
        <w:jc w:val="both"/>
        <w:spacing w:before="100" w:after="0"/>
        <w:ind w:start="360"/>
        <w:ind w:firstLine="360"/>
      </w:pPr>
      <w:r>
        <w:rPr>
          <w:b/>
        </w:rPr>
        <w:t>1</w:t>
        <w:t xml:space="preserve">.  </w:t>
      </w:r>
      <w:r>
        <w:rPr>
          <w:b/>
        </w:rPr>
      </w:r>
      <w:r>
        <w:t xml:space="preserve"> </w:t>
      </w:r>
      <w:r>
        <w:t xml:space="preserve">A person is guilty of failure to report treatment of a gunshot wound if, being a health care practitioner or emergency medical services person, that person treats a human being for a wound apparently caused by the discharge of a firearm and knowingly fails to report the same to a law enforcement agency immediately by the quickest means of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 §1 (AMD).]</w:t>
      </w:r>
    </w:p>
    <w:p>
      <w:pPr>
        <w:jc w:val="both"/>
        <w:spacing w:before="100" w:after="0"/>
        <w:ind w:start="360"/>
        <w:ind w:firstLine="360"/>
      </w:pPr>
      <w:r>
        <w:rPr>
          <w:b/>
        </w:rPr>
        <w:t>2</w:t>
        <w:t xml:space="preserve">.  </w:t>
      </w:r>
      <w:r>
        <w:rPr>
          <w:b/>
        </w:rPr>
      </w:r>
      <w:r>
        <w:t xml:space="preserve"> </w:t>
      </w:r>
      <w:r>
        <w:t xml:space="preserve">Failure to report treatment of a gunshot wound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As used in this section, "health care practitioner" has the same meaning as in </w:t>
      </w:r>
      <w:r>
        <w:t>Title 24, section 2502, subsection 1‑A</w:t>
      </w:r>
      <w:r>
        <w:t xml:space="preserve">, and "emergency medical services person" has the same meaning as in </w:t>
      </w:r>
      <w:r>
        <w:t>Title 32, section 83,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2009, c. 49,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§512. Failure to report treatment of a gunshot wound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Failure to report treatment of a gunshot wound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§512. FAILURE TO REPORT TREATMENT OF A GUNSHOT WOUND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