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Aggravated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Aggravated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05. AGGRAVATED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