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Modification of community service work</w:t>
      </w:r>
    </w:p>
    <w:p>
      <w:pPr>
        <w:jc w:val="both"/>
        <w:spacing w:before="100" w:after="100"/>
        <w:ind w:start="360"/>
        <w:ind w:firstLine="360"/>
      </w:pPr>
      <w:r>
        <w:rPr/>
      </w:r>
      <w:r>
        <w:rPr/>
      </w:r>
      <w:r>
        <w:t xml:space="preserve">An individual who has been sentenced to perform a specified number of hours of community service work pursuant to </w:t>
      </w:r>
      <w:r>
        <w:t>section 2031</w:t>
      </w:r>
      <w:r>
        <w:t xml:space="preserve"> and who is in danger of default for failing to complete the work in the manner ordered by the court shall move the court for a modification to avoid the default.  The court may modify its prior order as to the time for completion, the nature of the work to be performed or the entity for which the work is to be performed.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§2032. Modification of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Modification of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§2032. MODIFICATION OF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