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COMPUTER CRIMES</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COMPUTER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COMPUTER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18. COMPUTER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