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BURGLARY AND CRIMINAL TRESPASS</w:t>
      </w:r>
    </w:p>
    <w:p>
      <w:pPr>
        <w:jc w:val="both"/>
        <w:spacing w:before="100" w:after="100"/>
        <w:ind w:start="1080" w:hanging="720"/>
      </w:pPr>
      <w:r>
        <w:rPr>
          <w:b/>
        </w:rPr>
        <w:t>§</w:t>
        <w:t>401</w:t>
        <w:t xml:space="preserve">.  </w:t>
      </w:r>
      <w:r>
        <w:rPr>
          <w:b/>
        </w:rPr>
        <w:t xml:space="preserve">Burglary</w:t>
      </w:r>
    </w:p>
    <w:p>
      <w:pPr>
        <w:jc w:val="both"/>
        <w:spacing w:before="100" w:after="100"/>
        <w:ind w:start="360"/>
        <w:ind w:firstLine="360"/>
      </w:pPr>
      <w:r>
        <w:rPr>
          <w:b/>
        </w:rPr>
        <w:t>1</w:t>
        <w:t xml:space="preserve">.  </w:t>
      </w:r>
      <w:r>
        <w:rPr>
          <w:b/>
        </w:rPr>
      </w:r>
      <w:r>
        <w:t xml:space="preserve"> </w:t>
      </w:r>
      <w:r>
        <w:t xml:space="preserve">A person is guilty of burglary if:</w:t>
      </w:r>
    </w:p>
    <w:p>
      <w:pPr>
        <w:jc w:val="both"/>
        <w:spacing w:before="100" w:after="0"/>
        <w:ind w:start="720"/>
      </w:pPr>
      <w:r>
        <w:rPr/>
        <w:t>A</w:t>
        <w:t xml:space="preserve">.  </w:t>
      </w:r>
      <w:r>
        <w:rPr/>
      </w:r>
      <w:r>
        <w:t xml:space="preserve">The person enters or surreptitiously remains in a structure knowing that that person is not licensed or privileged to do so, with the intent to commit a crime therein.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§53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person is armed with a firearm, or knows that an accomplice is so armed.  Violation of this subparagraph is a Class A crime;</w:t>
      </w:r>
    </w:p>
    <w:p>
      <w:pPr>
        <w:jc w:val="both"/>
        <w:spacing w:before="100" w:after="0"/>
        <w:ind w:start="1080"/>
      </w:pPr>
      <w:r>
        <w:rPr/>
        <w:t>(</w:t>
        <w:t>2</w:t>
        <w:t xml:space="preserve">)  </w:t>
      </w:r>
      <w:r>
        <w:rPr/>
      </w:r>
      <w:r>
        <w:t xml:space="preserve">The person intentionally or recklessly inflicts or attempts to inflict bodily injury on anyone during the commission of the burglary or an attempt to commit the burglary or in immediate flight after the commission or attempt.  Violation of this subparagraph is a Class B crime;</w:t>
      </w:r>
    </w:p>
    <w:p>
      <w:pPr>
        <w:jc w:val="both"/>
        <w:spacing w:before="100" w:after="0"/>
        <w:ind w:start="1080"/>
      </w:pPr>
      <w:r>
        <w:rPr/>
        <w:t>(</w:t>
        <w:t>3</w:t>
        <w:t xml:space="preserve">)  </w:t>
      </w:r>
      <w:r>
        <w:rPr/>
      </w:r>
      <w:r>
        <w:t xml:space="preserve">The person is armed with a dangerous weapon other than a firearm or knows that an accomplice is so armed.  Violation of this subparagraph is a Class B crime;</w:t>
      </w:r>
    </w:p>
    <w:p>
      <w:pPr>
        <w:jc w:val="both"/>
        <w:spacing w:before="100" w:after="0"/>
        <w:ind w:start="1080"/>
      </w:pPr>
      <w:r>
        <w:rPr/>
        <w:t>(</w:t>
        <w:t>4</w:t>
        <w:t xml:space="preserve">)  </w:t>
      </w:r>
      <w:r>
        <w:rPr/>
      </w:r>
      <w:r>
        <w:t xml:space="preserve">The violation is against a structure that is a dwelling place.  Violation of this subparagraph is a Class B crime; or</w:t>
      </w:r>
    </w:p>
    <w:p>
      <w:pPr>
        <w:jc w:val="both"/>
        <w:spacing w:before="100" w:after="0"/>
        <w:ind w:start="1080"/>
      </w:pPr>
      <w:r>
        <w:rPr/>
        <w:t>(</w:t>
        <w:t>5</w:t>
        <w:t xml:space="preserve">)  </w:t>
      </w:r>
      <w:r>
        <w:rPr/>
      </w:r>
      <w:r>
        <w:t xml:space="preserve">At the time of the burglary, the person has 2 or more prior convictions for any combination of the Maine Class A, B or C offenses listed in this subparagraph or for engaging in substantially similar conduct to that of the Maine offenses listed in this subparagraph in another jurisdiction.  The Maine offenses are: theft; any violation of this section or </w:t>
      </w:r>
      <w:r>
        <w:t>section 651</w:t>
      </w:r>
      <w:r>
        <w:t xml:space="preserve">, </w:t>
      </w:r>
      <w:r>
        <w:t>702</w:t>
      </w:r>
      <w:r>
        <w:t xml:space="preserve"> or </w:t>
      </w:r>
      <w:r>
        <w:t>703</w:t>
      </w:r>
      <w:r>
        <w:t xml:space="preserve">; or attempts to commit any of these crimes.  </w:t>
      </w:r>
      <w:r>
        <w:t>Section 9‑A</w:t>
      </w:r>
      <w:r>
        <w:t xml:space="preserve"> governs the use of prior convictions when determining a sentence.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§54 (RP); PL 2001, c. 383, §156 (AFF).]</w:t>
      </w:r>
    </w:p>
    <w:p>
      <w:pPr>
        <w:jc w:val="both"/>
        <w:spacing w:before="100" w:after="0"/>
        <w:ind w:start="360"/>
        <w:ind w:firstLine="360"/>
      </w:pPr>
      <w:r>
        <w:rPr>
          <w:b/>
        </w:rPr>
        <w:t>3</w:t>
        <w:t xml:space="preserve">.  </w:t>
      </w:r>
      <w:r>
        <w:rPr>
          <w:b/>
        </w:rPr>
      </w:r>
      <w:r>
        <w:t xml:space="preserve"> </w:t>
      </w:r>
      <w:r>
        <w:t xml:space="preserve">A person may be convicted both of burglary and of the crime that the person committed or attempted to commit after entering or remaining in the structure, but sentencing for both crimes is governed by </w:t>
      </w:r>
      <w:r>
        <w:t>section 1608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§60 (AMD). PL 1977, c. 510, §§50-52 (AMD). PL 1985, c. 282, §4 (AMD). PL 1997, c. 477, §1 (AMD). PL 2001, c. 383, §§53-55 (AMD). PL 2001, c. 383, §156 (AFF). PL 2007, c. 476, §21 (AMD). PL 2019, c. 113, Pt. C, §61 (AMD). </w:t>
      </w:r>
    </w:p>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jc w:val="both"/>
        <w:spacing w:before="100" w:after="100"/>
        <w:ind w:start="1080" w:hanging="720"/>
      </w:pPr>
      <w:r>
        <w:rPr>
          <w:b/>
        </w:rPr>
        <w:t>§</w:t>
        <w:t>403</w:t>
        <w:t xml:space="preserve">.  </w:t>
      </w:r>
      <w:r>
        <w:rPr>
          <w:b/>
        </w:rPr>
        <w:t xml:space="preserve">Possession or transfer of burglar's tools</w:t>
      </w:r>
    </w:p>
    <w:p>
      <w:pPr>
        <w:jc w:val="both"/>
        <w:spacing w:before="100" w:after="100"/>
        <w:ind w:start="360"/>
        <w:ind w:firstLine="360"/>
      </w:pPr>
      <w:r>
        <w:rPr>
          <w:b/>
        </w:rPr>
        <w:t>1</w:t>
        <w:t xml:space="preserve">.  </w:t>
      </w:r>
      <w:r>
        <w:rPr>
          <w:b/>
        </w:rPr>
      </w:r>
      <w:r>
        <w:t xml:space="preserve"> </w:t>
      </w:r>
      <w:r>
        <w:t xml:space="preserve">A person is guilty of possession or transfer of burglar's tools if that person:</w:t>
      </w:r>
    </w:p>
    <w:p>
      <w:pPr>
        <w:jc w:val="both"/>
        <w:spacing w:before="100" w:after="0"/>
        <w:ind w:start="720"/>
      </w:pPr>
      <w:r>
        <w:rPr/>
        <w:t>A</w:t>
        <w:t xml:space="preserve">.  </w:t>
      </w:r>
      <w:r>
        <w:rPr/>
      </w:r>
      <w:r>
        <w:t xml:space="preserve">Possesses or makes any tool, implement, instrument or other article that is adapted, designed or commonly used for advancing or facilitating crimes involving unlawful entry into property or crimes involving forcible breaking of safes or other containers or depositories of property, including, but not limited to, an electronic device used as a code grabber or a master key designed to fit more than one lock, with intent to use such tool, implement, instrument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w:pPr>
        <w:jc w:val="both"/>
        <w:spacing w:before="100" w:after="0"/>
        <w:ind w:start="720"/>
      </w:pPr>
      <w:r>
        <w:rPr/>
        <w:t>B</w:t>
        <w:t xml:space="preserve">.  </w:t>
      </w:r>
      <w:r>
        <w:rPr/>
      </w:r>
      <w:r>
        <w:t xml:space="preserve">Transfers or possesses with the intent to transfer any device described in paragraph A that that person knows is designed or primarily useful for the commission of a crime described in </w:t>
      </w:r>
      <w:r>
        <w:t>paragraph A</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§60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§60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372, §1 (RPR). PL 2001, c. 383, §§60,61 (AMD). PL 2001, c. 383, §156 (AFF). </w:t>
      </w:r>
    </w:p>
    <w:p>
      <w:pPr>
        <w:jc w:val="both"/>
        <w:spacing w:before="100" w:after="100"/>
        <w:ind w:start="1080" w:hanging="720"/>
      </w:pPr>
      <w:r>
        <w:rPr>
          <w:b/>
        </w:rPr>
        <w:t>§</w:t>
        <w:t>404</w:t>
        <w:t xml:space="preserve">.  </w:t>
      </w:r>
      <w:r>
        <w:rPr>
          <w:b/>
        </w:rPr>
        <w:t xml:space="preserve">Trespass by motor vehicle</w:t>
      </w:r>
    </w:p>
    <w:p>
      <w:pPr>
        <w:jc w:val="both"/>
        <w:spacing w:before="100" w:after="100"/>
        <w:ind w:start="360"/>
        <w:ind w:firstLine="360"/>
      </w:pPr>
      <w:r>
        <w:rPr>
          <w:b/>
        </w:rPr>
        <w:t>1</w:t>
        <w:t xml:space="preserve">.  </w:t>
      </w:r>
      <w:r>
        <w:rPr>
          <w:b/>
        </w:rPr>
      </w:r>
      <w:r>
        <w:t xml:space="preserve"> </w:t>
      </w:r>
      <w:r>
        <w:t xml:space="preserve">A person is guilty of trespass by motor vehicle if, knowing that that person has no right to do so, that person intentionally or knowingly permits a motor vehicle belonging to that person or subject to that person's control to enter or remain in or on:</w:t>
      </w:r>
    </w:p>
    <w:p>
      <w:pPr>
        <w:jc w:val="both"/>
        <w:spacing w:before="100" w:after="0"/>
        <w:ind w:start="720"/>
      </w:pPr>
      <w:r>
        <w:rPr/>
        <w:t>A</w:t>
        <w:t xml:space="preserve">.  </w:t>
      </w:r>
      <w:r>
        <w:rPr/>
      </w:r>
      <w:r>
        <w:t xml:space="preserve">The residential property of another;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B</w:t>
        <w:t xml:space="preserve">.  </w:t>
      </w:r>
      <w:r>
        <w:rPr/>
      </w:r>
      <w:r>
        <w:t xml:space="preserve">The nonresidential property of another for a continuous period in excess of 24 hours; or</w:t>
      </w:r>
      <w:r>
        <w:t xml:space="preserve">  </w:t>
      </w:r>
      <w:r xmlns:wp="http://schemas.openxmlformats.org/drawingml/2010/wordprocessingDrawing" xmlns:w15="http://schemas.microsoft.com/office/word/2012/wordml">
        <w:rPr>
          <w:rFonts w:ascii="Arial" w:hAnsi="Arial" w:cs="Arial"/>
          <w:sz w:val="22"/>
          <w:szCs w:val="22"/>
        </w:rPr>
        <w:t xml:space="preserve">[PL 1995, c. 529, §3 (AMD).]</w:t>
      </w:r>
    </w:p>
    <w:p>
      <w:pPr>
        <w:jc w:val="both"/>
        <w:spacing w:before="100" w:after="0"/>
        <w:ind w:start="720"/>
      </w:pPr>
      <w:r>
        <w:rPr/>
        <w:t>C</w:t>
        <w:t xml:space="preserve">.  </w:t>
      </w:r>
      <w:r>
        <w:rPr/>
      </w:r>
      <w:r>
        <w:t xml:space="preserve">The nonresidential property of another that is:</w:t>
      </w:r>
    </w:p>
    <w:p>
      <w:pPr>
        <w:jc w:val="both"/>
        <w:spacing w:before="100" w:after="0"/>
        <w:ind w:start="1080"/>
      </w:pPr>
      <w:r>
        <w:rPr/>
        <w:t>(</w:t>
        <w:t>1</w:t>
        <w:t xml:space="preserve">)  </w:t>
      </w:r>
      <w:r>
        <w:rPr/>
      </w:r>
      <w:r>
        <w:t xml:space="preserve">Posted in accordance with </w:t>
      </w:r>
      <w:r>
        <w:t>section 402, subsection 4</w:t>
      </w:r>
      <w:r>
        <w:t xml:space="preserve">;</w:t>
      </w:r>
    </w:p>
    <w:p>
      <w:pPr>
        <w:jc w:val="both"/>
        <w:spacing w:before="100" w:after="0"/>
        <w:ind w:start="1080"/>
      </w:pPr>
      <w:r>
        <w:rPr/>
        <w:t>(</w:t>
        <w:t>2</w:t>
        <w:t xml:space="preserve">)  </w:t>
      </w:r>
      <w:r>
        <w:rPr/>
      </w:r>
      <w:r>
        <w:t xml:space="preserve">Posted to prohibit access by motor vehicles; or</w:t>
      </w:r>
    </w:p>
    <w:p>
      <w:pPr>
        <w:jc w:val="both"/>
        <w:spacing w:before="100" w:after="0"/>
        <w:ind w:start="1080"/>
      </w:pPr>
      <w:r>
        <w:rPr/>
        <w:t>(</w:t>
        <w:t>3</w:t>
        <w:t xml:space="preserve">)  </w:t>
      </w:r>
      <w:r>
        <w:rPr/>
      </w:r>
      <w:r>
        <w:t xml:space="preserve">Posted in a manner reasonably likely to come to the attention of intruders.</w:t>
      </w:r>
    </w:p>
    <w:p>
      <w:pPr>
        <w:jc w:val="both"/>
        <w:spacing w:before="100" w:after="0"/>
        <w:ind w:start="720"/>
      </w:pPr>
      <w:r>
        <w:rPr/>
      </w:r>
      <w:r>
        <w:rPr/>
      </w:r>
      <w:r>
        <w:t xml:space="preserve">For purposes of this paragraph, property is posted to prohibit access by motor vehicles if the property owner or the owner's agent has posted the property boundaries at points where they are crossed by roads or trails with signs indicating that motor vehicle access is prohibited or with paint markings that comply with </w:t>
      </w:r>
      <w:r>
        <w:t>section 402,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529, §3 (AMD).]</w:t>
      </w:r>
    </w:p>
    <w:p>
      <w:pPr>
        <w:jc w:val="both"/>
        <w:spacing w:before="100" w:after="0"/>
        <w:ind w:start="360"/>
        <w:ind w:firstLine="360"/>
      </w:pPr>
      <w:r>
        <w:rPr>
          <w:b/>
        </w:rPr>
        <w:t>2</w:t>
        <w:t xml:space="preserve">.  </w:t>
      </w:r>
      <w:r>
        <w:rPr>
          <w:b/>
        </w:rPr>
      </w:r>
      <w:r>
        <w:t xml:space="preserve"> </w:t>
      </w:r>
      <w:r>
        <w:t xml:space="preserve">Proof that the defendant was the registered owner of the vehicle gives rise to a permissible inference under the Maine Rules of Evidence, Rule 303 that the defendant was the person who permitted the vehicle to enter or remain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§62 (AMD); PL 2001, c. 383, §156 (AFF).]</w:t>
      </w:r>
    </w:p>
    <w:p>
      <w:pPr>
        <w:jc w:val="both"/>
        <w:spacing w:before="100" w:after="0"/>
        <w:ind w:start="360"/>
        <w:ind w:firstLine="360"/>
      </w:pPr>
      <w:r>
        <w:rPr>
          <w:b/>
        </w:rPr>
        <w:t>3</w:t>
        <w:t xml:space="preserve">.  </w:t>
      </w:r>
      <w:r>
        <w:rPr>
          <w:b/>
        </w:rPr>
      </w:r>
      <w:r>
        <w:t xml:space="preserve"> </w:t>
      </w:r>
      <w:r>
        <w:t xml:space="preserve">Trespass by motor vehicle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529, §3 (AMD). PL 2001, c. 383, §62 (AMD). PL 2001, c. 383, §156 (AFF). </w:t>
      </w:r>
    </w:p>
    <w:p>
      <w:pPr>
        <w:jc w:val="both"/>
        <w:spacing w:before="100" w:after="100"/>
        <w:ind w:start="1080" w:hanging="720"/>
      </w:pPr>
      <w:r>
        <w:rPr>
          <w:b/>
        </w:rPr>
        <w:t>§</w:t>
        <w:t>405</w:t>
        <w:t xml:space="preserve">.  </w:t>
      </w:r>
      <w:r>
        <w:rPr>
          <w:b/>
        </w:rPr>
        <w:t xml:space="preserve">Burglary of motor vehicle</w:t>
      </w:r>
    </w:p>
    <w:p>
      <w:pPr>
        <w:jc w:val="both"/>
        <w:spacing w:before="100" w:after="100"/>
        <w:ind w:start="360"/>
        <w:ind w:firstLine="360"/>
      </w:pPr>
      <w:r>
        <w:rPr>
          <w:b/>
        </w:rPr>
        <w:t>1</w:t>
        <w:t xml:space="preserve">.  </w:t>
      </w:r>
      <w:r>
        <w:rPr>
          <w:b/>
        </w:rPr>
      </w:r>
      <w:r>
        <w:t xml:space="preserve"> </w:t>
      </w:r>
      <w:r>
        <w:t xml:space="preserve">A person is guilty of burglary of a motor vehicle if:</w:t>
      </w:r>
    </w:p>
    <w:p>
      <w:pPr>
        <w:jc w:val="both"/>
        <w:spacing w:before="100" w:after="0"/>
        <w:ind w:start="720"/>
      </w:pPr>
      <w:r>
        <w:rPr/>
        <w:t>A</w:t>
        <w:t xml:space="preserve">.  </w:t>
      </w:r>
      <w:r>
        <w:rPr/>
      </w:r>
      <w:r>
        <w:t xml:space="preserve">The person enters a motor vehicle, knowing that the person is not licensed or privileged to do so, with the intent to commit a crime therein.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w:pPr>
        <w:jc w:val="both"/>
        <w:spacing w:before="100" w:after="0"/>
        <w:ind w:start="720"/>
      </w:pPr>
      <w:r>
        <w:rPr/>
        <w:t>B</w:t>
        <w:t xml:space="preserve">.  </w:t>
      </w:r>
      <w:r>
        <w:rPr/>
      </w:r>
      <w:r>
        <w:t xml:space="preserve">The person violates </w:t>
      </w:r>
      <w:r>
        <w:t>paragraph A</w:t>
      </w:r>
      <w:r>
        <w:t xml:space="preserve">, and the person forcibly enters a motor vehicle that is locked.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(RP).]</w:t>
      </w:r>
    </w:p>
    <w:p>
      <w:pPr>
        <w:jc w:val="both"/>
        <w:spacing w:before="100" w:after="0"/>
        <w:ind w:start="360"/>
        <w:ind w:firstLine="360"/>
      </w:pPr>
      <w:r>
        <w:rPr>
          <w:b/>
        </w:rPr>
        <w:t>2-A</w:t>
        <w:t xml:space="preserve">.  </w:t>
      </w:r>
      <w:r>
        <w:rPr>
          <w:b/>
        </w:rPr>
      </w:r>
      <w:r>
        <w:t xml:space="preserve"> </w:t>
      </w:r>
      <w:r>
        <w:t xml:space="preserve">As used in </w:t>
      </w:r>
      <w:r>
        <w:t>subsection 1</w:t>
      </w:r>
      <w:r>
        <w:t xml:space="preserve">, "forcibly" means with the use of a burglar's tool or by the use of physical force that damages or destroys the motor vehicle.  "Burglar's tool" means any device described in </w:t>
      </w:r>
      <w:r>
        <w:t>section 403,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263 (NEW). PL 2003, c. 711, §A4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BURGLARY AND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BURGLARY AND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17. BURGLARY AND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