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§907. POSSESSION OR TRANSFER OF THEFT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