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w:t>
        <w:t xml:space="preserve"> </w:t>
      </w:r>
      <w:r>
        <w:t xml:space="preserve"> </w:t>
      </w:r>
      <w:r>
        <w:t xml:space="preserve">"Crime" means a criminal offense in which, as defined, there is a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Victim. </w:t>
        <w:t xml:space="preserve"> </w:t>
      </w:r>
      <w:r>
        <w:t xml:space="preserve"> </w:t>
      </w:r>
      <w:r>
        <w:t xml:space="preserve">"Victim" means:</w:t>
      </w:r>
    </w:p>
    <w:p>
      <w:pPr>
        <w:jc w:val="both"/>
        <w:spacing w:before="100" w:after="0"/>
        <w:ind w:start="720"/>
      </w:pPr>
      <w:r>
        <w:rPr/>
        <w:t>A</w:t>
        <w:t xml:space="preserve">.  </w:t>
      </w:r>
      <w:r>
        <w:rPr/>
      </w:r>
      <w:r>
        <w:t xml:space="preserve">A person who is the victim of a crime;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immediate family of a victim of a crime if:</w:t>
      </w:r>
    </w:p>
    <w:p>
      <w:pPr>
        <w:jc w:val="both"/>
        <w:spacing w:before="100" w:after="0"/>
        <w:ind w:start="1080"/>
      </w:pPr>
      <w:r>
        <w:rPr/>
        <w:t>(</w:t>
        <w:t>1</w:t>
        <w:t xml:space="preserve">)  </w:t>
      </w:r>
      <w:r>
        <w:rPr/>
      </w:r>
      <w:r>
        <w:t xml:space="preserve">The underlying crime is one of domestic violence or sexual assault or one in which the family suffered serious physical trauma or serious financial loss; or</w:t>
      </w:r>
    </w:p>
    <w:p>
      <w:pPr>
        <w:jc w:val="both"/>
        <w:spacing w:before="100" w:after="0"/>
        <w:ind w:start="1080"/>
      </w:pPr>
      <w:r>
        <w:rPr/>
        <w:t>(</w:t>
        <w:t>2</w:t>
        <w:t xml:space="preserve">)  </w:t>
      </w:r>
      <w:r>
        <w:rPr/>
      </w:r>
      <w:r>
        <w:t xml:space="preserve">Due to death, age, physical or mental disease, disorder or defect, the victim is unable to participate as allowed under this chapter.</w:t>
      </w:r>
    </w:p>
    <w:p>
      <w:pPr>
        <w:jc w:val="both"/>
        <w:spacing w:before="100" w:after="0"/>
        <w:ind w:start="720"/>
      </w:pPr>
      <w:r>
        <w:rPr/>
      </w:r>
      <w:r>
        <w:rPr/>
      </w:r>
      <w:r>
        <w:t xml:space="preserve">As used in this paragraph, "immediate family" means the spouse, domestic partner, parent, child, sibling, stepchild or stepparent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