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§208-C. Elevated aggravated assault on pregnant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§208-C. Elevated aggravated assault on pregnant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§208-C. ELEVATED AGGRAVATED ASSAULT ON PREGNANT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