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2009</w:t>
        <w:t xml:space="preserve">.  </w:t>
      </w:r>
      <w:r>
        <w:rPr>
          <w:b/>
        </w:rPr>
        <w:t xml:space="preserve">Victim unable to be located</w:t>
      </w:r>
    </w:p>
    <w:p>
      <w:pPr>
        <w:jc w:val="both"/>
        <w:spacing w:before="100" w:after="100"/>
        <w:ind w:start="360"/>
        <w:ind w:firstLine="360"/>
      </w:pPr>
      <w:r>
        <w:rPr/>
      </w:r>
      <w:r>
        <w:rPr/>
      </w:r>
      <w:r>
        <w:t xml:space="preserve">If the location of a victim cannot, with due diligence, be ascertained, the money collected as restitution must be forwarded to the Treasurer of State to be handled as unclaimed property.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§2009. Victim unable to be located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§2009. Victim unable to be located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§2009. VICTIM UNABLE TO BE LOCATED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