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w:t>
        <w:t xml:space="preserve">.  </w:t>
      </w:r>
      <w:r>
        <w:rPr>
          <w:b/>
        </w:rPr>
        <w:t xml:space="preserve">Homelessness crisis protocol</w:t>
      </w:r>
    </w:p>
    <w:p>
      <w:pPr>
        <w:jc w:val="both"/>
        <w:spacing w:before="100" w:after="100"/>
        <w:ind w:start="360"/>
        <w:ind w:firstLine="360"/>
      </w:pPr>
      <w:r>
        <w:rPr/>
      </w:r>
      <w:r>
        <w:rPr/>
      </w:r>
      <w:r>
        <w:t xml:space="preserve">A person who lacks a home who commits a listed offense because the person lacks a home must be treated in accordance with the homelessness crisis protocol adopted by the responding law enforcement agency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"Law enforcement agency" has the same meaning as in </w:t>
      </w:r>
      <w:r>
        <w:t>Title 25, section 3701,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0"/>
        <w:ind w:start="720"/>
      </w:pPr>
      <w:r>
        <w:rPr/>
        <w:t>B</w:t>
        <w:t xml:space="preserve">.  </w:t>
      </w:r>
      <w:r>
        <w:rPr/>
      </w:r>
      <w:r>
        <w:t xml:space="preserve">"Listed offense" means:</w:t>
      </w:r>
    </w:p>
    <w:p>
      <w:pPr>
        <w:jc w:val="both"/>
        <w:spacing w:before="100" w:after="0"/>
        <w:ind w:start="1080"/>
      </w:pPr>
      <w:r>
        <w:rPr/>
        <w:t>(</w:t>
        <w:t>1</w:t>
        <w:t xml:space="preserve">)  </w:t>
      </w:r>
      <w:r>
        <w:rPr/>
      </w:r>
      <w:r>
        <w:t xml:space="preserve">Criminal trespass in violation of </w:t>
      </w:r>
      <w:r>
        <w:t>section 402, subsection 1, paragraph C</w:t>
      </w:r>
      <w:r>
        <w:t xml:space="preserve"> or </w:t>
      </w:r>
      <w:r>
        <w:t>F</w:t>
      </w:r>
      <w:r>
        <w:t xml:space="preserve">;</w:t>
      </w:r>
    </w:p>
    <w:p>
      <w:pPr>
        <w:jc w:val="both"/>
        <w:spacing w:before="100" w:after="0"/>
        <w:ind w:start="1080"/>
      </w:pPr>
      <w:r>
        <w:rPr/>
        <w:t>(</w:t>
        <w:t>2</w:t>
        <w:t xml:space="preserve">)  </w:t>
      </w:r>
      <w:r>
        <w:rPr/>
      </w:r>
      <w:r>
        <w:t xml:space="preserve">Disorderly conduct in violation of </w:t>
      </w:r>
      <w:r>
        <w:t>section 501‑A, subsection 1, paragraph A</w:t>
      </w:r>
      <w:r>
        <w:t xml:space="preserve">;</w:t>
      </w:r>
    </w:p>
    <w:p>
      <w:pPr>
        <w:jc w:val="both"/>
        <w:spacing w:before="100" w:after="0"/>
        <w:ind w:start="1080"/>
      </w:pPr>
      <w:r>
        <w:rPr/>
        <w:t>(</w:t>
        <w:t>3</w:t>
        <w:t xml:space="preserve">)  </w:t>
      </w:r>
      <w:r>
        <w:rPr/>
      </w:r>
      <w:r>
        <w:t xml:space="preserve">Indecent conduct in violation of </w:t>
      </w:r>
      <w:r>
        <w:t>section 854</w:t>
      </w:r>
      <w:r>
        <w:t xml:space="preserve"> that is based on urinating in public;</w:t>
      </w:r>
    </w:p>
    <w:p>
      <w:pPr>
        <w:jc w:val="both"/>
        <w:spacing w:before="100" w:after="0"/>
        <w:ind w:start="1080"/>
      </w:pPr>
      <w:r>
        <w:rPr/>
        <w:t>(</w:t>
        <w:t>4</w:t>
        <w:t xml:space="preserve">)  </w:t>
      </w:r>
      <w:r>
        <w:rPr/>
      </w:r>
      <w:r>
        <w:t xml:space="preserve">Possession of a scheduled drug in violation of </w:t>
      </w:r>
      <w:r>
        <w:t>chapter 45</w:t>
      </w:r>
      <w:r>
        <w:t xml:space="preserve"> that is based on using the scheduled drug; or</w:t>
      </w:r>
    </w:p>
    <w:p>
      <w:pPr>
        <w:jc w:val="both"/>
        <w:spacing w:before="100" w:after="0"/>
        <w:ind w:start="1080"/>
      </w:pPr>
      <w:r>
        <w:rPr/>
        <w:t>(</w:t>
        <w:t>5</w:t>
        <w:t xml:space="preserve">)  </w:t>
      </w:r>
      <w:r>
        <w:rPr/>
      </w:r>
      <w:r>
        <w:t xml:space="preserve">Public drinking in violation of </w:t>
      </w:r>
      <w:r>
        <w:t>Title 17, section 2003‑A,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100"/>
        <w:ind w:start="360"/>
        <w:ind w:firstLine="360"/>
      </w:pPr>
      <w:r>
        <w:rPr>
          <w:b/>
        </w:rPr>
        <w:t>2</w:t>
        <w:t xml:space="preserve">.  </w:t>
      </w:r>
      <w:r>
        <w:rPr>
          <w:b/>
        </w:rPr>
        <w:t xml:space="preserve">Adoption of homelessness crisis protocol.</w:t>
        <w:t xml:space="preserve"> </w:t>
      </w:r>
      <w:r>
        <w:t xml:space="preserve"> </w:t>
      </w:r>
      <w:r>
        <w:t xml:space="preserve">This subsection governs the adoption of homelessness crisis protocols by the Attorney General and law enforcement agencies. A homelessness crisis protocol must include access and referral to crisis services, mental health and substance use disorder professionals, emergency and transitional housing and case management services.  </w:t>
      </w:r>
    </w:p>
    <w:p>
      <w:pPr>
        <w:jc w:val="both"/>
        <w:spacing w:before="100" w:after="0"/>
        <w:ind w:start="720"/>
      </w:pPr>
      <w:r>
        <w:rPr/>
        <w:t>A</w:t>
        <w:t xml:space="preserve">.  </w:t>
      </w:r>
      <w:r>
        <w:rPr/>
      </w:r>
      <w:r>
        <w:t xml:space="preserve">By January 1, 2022, the Attorney General shall adopt a model homelessness crisis protocol.</w:t>
      </w:r>
    </w:p>
    <w:p>
      <w:pPr>
        <w:jc w:val="both"/>
        <w:spacing w:before="100" w:after="0"/>
        <w:ind w:start="720"/>
      </w:pPr>
      <w:r>
        <w:rPr/>
      </w:r>
      <w:r>
        <w:rPr/>
      </w:r>
      <w:r>
        <w:t xml:space="preserve">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0"/>
        <w:ind w:start="720"/>
      </w:pPr>
      <w:r>
        <w:rPr/>
        <w:t>B</w:t>
        <w:t xml:space="preserve">.  </w:t>
      </w:r>
      <w:r>
        <w:rPr/>
      </w:r>
      <w:r>
        <w:t xml:space="preserve">By March 1, 2022, all law enforcement agencies shall adopt homelessness crisis protocols.  The protocol of a law enforcement agency may, but is not required to, conform to the protocol adopted by the Attorney General.  </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0"/>
        <w:ind w:start="360"/>
        <w:ind w:firstLine="360"/>
      </w:pPr>
      <w:r>
        <w:rPr>
          <w:b/>
        </w:rPr>
        <w:t>3</w:t>
        <w:t xml:space="preserve">.  </w:t>
      </w:r>
      <w:r>
        <w:rPr>
          <w:b/>
        </w:rPr>
        <w:t xml:space="preserve">Law enforcement response to a listed offense by a person who lacks a home.</w:t>
        <w:t xml:space="preserve"> </w:t>
      </w:r>
      <w:r>
        <w:t xml:space="preserve"> </w:t>
      </w:r>
      <w:r>
        <w:t xml:space="preserve">A law enforcement officer who responds to a call regarding or encounters a person who is committing or has committed a listed offense shall inquire whether the person has a home or lacks a home.  If the person lacks a home, the law enforcement officer shall respond to the person using the homelessness crisis protocol adopted by the officer's law enforcement agency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100"/>
        <w:ind w:start="360"/>
      </w:pPr>
      <w:r>
        <w:rPr>
          <w:b w:val="true"/>
          <w:i/>
          <w:caps w:val="true"/>
        </w:rPr>
        <w:t xml:space="preserve">Revisor's Note: </w:t>
      </w:r>
      <w:r>
        <w:t>§18. Crimes involving minors (As enacted by PL 2021, c. 447, §1 is REALLOCATED TO TITLE 17-A, SECTION 19)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 Homelessness crisis protocol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 Homelessness crisis protocol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 HOMELESSNESS CRISIS PROTOCOL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