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§1106-A. Aggregation of amounts of drugs 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§1106-A. AGGREGATION OF AMOUNTS OF DRUGS 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