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VICTIMS' RIGHTS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2102</w:t>
        <w:t xml:space="preserve">.  </w:t>
      </w:r>
      <w:r>
        <w:rPr>
          <w:b/>
        </w:rPr>
        <w:t xml:space="preserve">Victims to be notified</w:t>
      </w:r>
    </w:p>
    <w:p>
      <w:pPr>
        <w:jc w:val="both"/>
        <w:spacing w:before="100" w:after="100"/>
        <w:ind w:start="360"/>
        <w:ind w:firstLine="360"/>
      </w:pPr>
      <w:r>
        <w:rPr>
          <w:b/>
        </w:rPr>
        <w:t>1</w:t>
        <w:t xml:space="preserve">.  </w:t>
      </w:r>
      <w:r>
        <w:rPr>
          <w:b/>
        </w:rPr>
        <w:t xml:space="preserve">Information provided to victim. </w:t>
        <w:t xml:space="preserve"> </w:t>
      </w:r>
      <w:r>
        <w:t xml:space="preserve"> </w:t>
      </w:r>
      <w:r>
        <w:t xml:space="preserve">The attorney for the State shall make a good faith effort to inform each victim of the following:</w:t>
      </w:r>
    </w:p>
    <w:p>
      <w:pPr>
        <w:jc w:val="both"/>
        <w:spacing w:before="100" w:after="0"/>
        <w:ind w:start="720"/>
      </w:pPr>
      <w:r>
        <w:rPr/>
        <w:t>A</w:t>
        <w:t xml:space="preserve">.  </w:t>
      </w:r>
      <w:r>
        <w:rPr/>
      </w:r>
      <w:r>
        <w:t xml:space="preserve">The details of a plea agreement, including a deferred disposition, before it is submitted to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right to comment on a plea agreement, including a deferred disposition, pursuant to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proposed dismissal or filing of an indictment, information or complaint pursuant to the Maine Rules of Unified Criminal Procedure, Rule 48, before that action is taken;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time and place of the trial;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time and place of sentencing;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right to participate at sentencing pursuant to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§6 (AMD); PL 2021, c. 330, §5 (AMD).]</w:t>
      </w:r>
    </w:p>
    <w:p>
      <w:pPr>
        <w:jc w:val="both"/>
        <w:spacing w:before="100" w:after="0"/>
        <w:ind w:start="720"/>
      </w:pPr>
      <w:r>
        <w:rPr/>
        <w:t>F-1</w:t>
        <w:t xml:space="preserve">.  </w:t>
      </w:r>
      <w:r>
        <w:rPr/>
      </w:r>
      <w:r>
        <w:t xml:space="preserve">The termination of probation pursuant to </w:t>
      </w:r>
      <w:r>
        <w:t>section 1804,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§13 (COR).]</w:t>
      </w:r>
    </w:p>
    <w:p>
      <w:pPr>
        <w:jc w:val="both"/>
        <w:spacing w:before="100" w:after="0"/>
        <w:ind w:start="720"/>
      </w:pPr>
      <w:r>
        <w:rPr>
          <w:b w:val="true"/>
          <w:i/>
          <w:caps w:val="true"/>
        </w:rPr>
        <w:t xml:space="preserve">Revisor's Note: </w:t>
      </w:r>
      <w:r>
        <w:t>(Paragraph F-1 as enacted by PL 2021, c. 330, §6 is REALLOCATED TO TITLE 17-A, SECTION 2102, SUBSECTION 1, PARAGRAPH F-2)
</w:t>
      </w:r>
    </w:p>
    <w:p>
      <w:pPr>
        <w:jc w:val="both"/>
        <w:spacing w:before="100" w:after="0"/>
        <w:ind w:start="720"/>
      </w:pPr>
      <w:r>
        <w:rPr/>
        <w:t>F-2</w:t>
        <w:t xml:space="preserve">.  </w:t>
      </w:r>
      <w:r>
        <w:rPr>
          <w:b/>
        </w:rPr>
        <w:t>(REALLOCATED FROM T. 17-A, §2102, sub-§1, ¶F-1)</w:t>
        <w:t xml:space="preserve"> </w:t>
      </w:r>
      <w:r>
        <w:rPr/>
      </w:r>
      <w:r>
        <w:t xml:space="preserve">The final disposition of the charges against the defendant, including the amount of deductions to time served that a defendant has accumulated as of the date of sentencing.  On or before the date of sentencing, the attorney for the State shall obtain information about the deductions to time served from each correctional facility at which a defendant was detained prior to sentencing on the relevant charges; and</w:t>
      </w:r>
      <w:r>
        <w:t xml:space="preserve">  </w:t>
      </w:r>
      <w:r xmlns:wp="http://schemas.openxmlformats.org/drawingml/2010/wordprocessingDrawing" xmlns:w15="http://schemas.microsoft.com/office/word/2012/wordml">
        <w:rPr>
          <w:rFonts w:ascii="Arial" w:hAnsi="Arial" w:cs="Arial"/>
          <w:sz w:val="22"/>
          <w:szCs w:val="22"/>
        </w:rPr>
        <w:t xml:space="preserve">[PL 2021, c. 330, §6 (NEW); RR 2021, c. 1, Pt. A, §14 (RAL).]</w:t>
      </w:r>
    </w:p>
    <w:p>
      <w:pPr>
        <w:jc w:val="both"/>
        <w:spacing w:before="100" w:after="0"/>
        <w:ind w:start="720"/>
      </w:pPr>
      <w:r>
        <w:rPr/>
        <w:t>G</w:t>
        <w:t xml:space="preserve">.  </w:t>
      </w:r>
      <w:r>
        <w:rPr/>
      </w:r>
      <w:r>
        <w:t xml:space="preserve">The right to comment on the proposed early termination of probation, early termination of administrative release or conversion of probation to administrative release, pursuant to </w:t>
      </w:r>
      <w:r>
        <w:t>section 2105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§5 (AMD); RR 2021, c. 1, Pt. A, §§13, 14 (COR).]</w:t>
      </w:r>
    </w:p>
    <w:p>
      <w:pPr>
        <w:jc w:val="both"/>
        <w:spacing w:before="100" w:after="0"/>
        <w:ind w:start="360"/>
        <w:ind w:firstLine="360"/>
      </w:pPr>
      <w:r>
        <w:rPr>
          <w:b/>
        </w:rPr>
        <w:t>2</w:t>
        <w:t xml:space="preserve">.  </w:t>
      </w:r>
      <w:r>
        <w:rPr>
          <w:b/>
        </w:rPr>
        <w:t xml:space="preserve">Pamphlets. </w:t>
        <w:t xml:space="preserve"> </w:t>
      </w:r>
      <w:r>
        <w:t xml:space="preserve"> </w:t>
      </w:r>
      <w:r>
        <w:t xml:space="preserve">When providing notice under </w:t>
      </w:r>
      <w:r>
        <w:t>subsection 1</w:t>
      </w:r>
      <w:r>
        <w:t xml:space="preserve">, the attorney for the State shall offer to provide the victim with a pamphlet containing this chapter, </w:t>
      </w:r>
      <w:r>
        <w:t>Title 5, chapter 316‑A</w:t>
      </w:r>
      <w:r>
        <w:t xml:space="preserve"> and </w:t>
      </w:r>
      <w:r>
        <w:t>Title 15, sections 812</w:t>
      </w:r>
      <w:r>
        <w:t xml:space="preserve"> and </w:t>
      </w:r>
      <w:r>
        <w:t>6101</w:t>
      </w:r>
      <w:r>
        <w:t xml:space="preserve">.  In addition, the attorney for the State, as part of any victim and witness support program that attorney administers under </w:t>
      </w:r>
      <w:r>
        <w:t>Title 30‑A, section 460</w:t>
      </w:r>
      <w:r>
        <w:t xml:space="preserve">, shall provide the victim with a pamphlet outlining in everyday language the provisions set out in this chapter, </w:t>
      </w:r>
      <w:r>
        <w:t>Title 5, chapter 316‑A</w:t>
      </w:r>
      <w:r>
        <w:t xml:space="preserve"> and </w:t>
      </w:r>
      <w:r>
        <w:t>Title 15, sections 812</w:t>
      </w:r>
      <w:r>
        <w:t xml:space="preserve"> and </w:t>
      </w:r>
      <w:r>
        <w:t>6101</w:t>
      </w:r>
      <w:r>
        <w:t xml:space="preserve">.  The attorney for the State may use the pamphlet printed and distributed by the Department of Corrections or another pamphlet that meets the criteria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§6 (AMD). PL 2021, c. 330, §§5, 6 (AMD). RR 2021, c. 1, Pt. A, §§13, 14 (COR). </w:t>
      </w:r>
    </w:p>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2105</w:t>
        <w:t xml:space="preserve">.  </w:t>
      </w:r>
      <w:r>
        <w:rPr>
          <w:b/>
        </w:rPr>
        <w:t xml:space="preserve">Termination or conversion procedure</w:t>
      </w:r>
    </w:p>
    <w:p>
      <w:pPr>
        <w:jc w:val="both"/>
        <w:spacing w:before="100" w:after="100"/>
        <w:ind w:start="360"/>
        <w:ind w:firstLine="360"/>
      </w:pPr>
      <w:r>
        <w:rPr/>
      </w:r>
      <w:r>
        <w:rPr/>
      </w:r>
      <w:r>
        <w:t xml:space="preserve">When the attorney for the State receives notice of a motion seeking early termination of probation or early termination of administrative release or seeking to convert probation to administrative release, the attorney for the State shall disclose to the court any attempts made to notify each victim of the motion to terminate or convert and any objection to the motion by a victim.  If a hearing is held on the motion by the court and the victim is present in court, the victim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2106</w:t>
        <w:t xml:space="preserve">.  </w:t>
      </w:r>
      <w:r>
        <w:rPr>
          <w:b/>
        </w:rPr>
        <w:t xml:space="preserve">Notification of defendant's release or escape</w:t>
      </w:r>
    </w:p>
    <w:p>
      <w:pPr>
        <w:jc w:val="both"/>
        <w:spacing w:before="100" w:after="100"/>
        <w:ind w:start="360"/>
        <w:ind w:firstLine="360"/>
      </w:pPr>
      <w:r>
        <w:rPr/>
      </w:r>
      <w:r>
        <w:rPr/>
      </w:r>
      <w:r>
        <w:t xml:space="preserve">Upon complying with </w:t>
      </w:r>
      <w:r>
        <w:t>subsection 1</w:t>
      </w:r>
      <w:r>
        <w:t xml:space="preserve">, a victim of a crime of murder or of a Class A, Class B or Class C crime or of a Class D crime under </w:t>
      </w:r>
      <w:r>
        <w:t>chapters 9</w:t>
      </w:r>
      <w:r>
        <w:t xml:space="preserve">, </w:t>
      </w:r>
      <w:r>
        <w:t>11</w:t>
      </w:r>
      <w:r>
        <w:t xml:space="preserve"> and </w:t>
      </w:r>
      <w:r>
        <w:t>12</w:t>
      </w:r>
      <w:r>
        <w:t xml:space="preserve"> for which the defendant is committed to the Department of Corrections or to a county jail or is committed to the custody of the Commissioner of Health and Human Services either under </w:t>
      </w:r>
      <w:r>
        <w:t>Title 15, section 103</w:t>
      </w:r>
      <w:r>
        <w:t xml:space="preserve"> after having been found not criminally responsible by reason of insanity or under </w:t>
      </w:r>
      <w:r>
        <w:t>Title 15, section 101‑D</w:t>
      </w:r>
      <w:r>
        <w:t xml:space="preserve"> after having been found incompetent to stand trial must receive notification of the defendant's unconditional release and discharge from institutional confinement upon the expiration of the sentence or upon release from commitment under </w:t>
      </w:r>
      <w:r>
        <w:t>Title 15, section 101‑D</w:t>
      </w:r>
      <w:r>
        <w:t xml:space="preserve"> or upon discharge under </w:t>
      </w:r>
      <w:r>
        <w:t>Title 15, section 104‑A</w:t>
      </w:r>
      <w:r>
        <w:t xml:space="preserve">; must receive notification of any conditional release of the defendant from institutional confinement, including probation, supervised release for sex offenders, parole, furlough, work release, funeral or deathbed visit, supervised community confinement, home release monitoring or similar program, administrative release or release under </w:t>
      </w:r>
      <w:r>
        <w:t>Title 15, section 104‑A</w:t>
      </w:r>
      <w:r>
        <w:t xml:space="preserve">; and must receive notification of the defendant's escape from the Department of Corrections, the custody of the Commissioner of Health and Human Services or the county jail to which the defendant is committed.  For purposes of this section, "victim" also includes 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§41 (AMD); PL 2021, c. 647, Pt. B, §65 (AFF).]</w:t>
      </w:r>
    </w:p>
    <w:p>
      <w:pPr>
        <w:jc w:val="both"/>
        <w:spacing w:before="100" w:after="0"/>
        <w:ind w:start="360"/>
        <w:ind w:firstLine="360"/>
      </w:pPr>
      <w:r>
        <w:rPr>
          <w:b/>
        </w:rPr>
        <w:t>1</w:t>
        <w:t xml:space="preserve">.  </w:t>
      </w:r>
      <w:r>
        <w:rPr>
          <w:b/>
        </w:rPr>
        <w:t xml:space="preserve">Request for notification. </w:t>
        <w:t xml:space="preserve"> </w:t>
      </w:r>
      <w:r>
        <w:t xml:space="preserve"> </w:t>
      </w:r>
      <w:r>
        <w:t xml:space="preserve">A victim who wishes to receive notification must file a written request for that notification of the defendant's release or escape under this section with the office of the attorney for the State.  The attorney for the State shall forward this request form to the Department of Corrections or to the state mental health institute or to the county jail to which that defendant is committed.  Notwithstanding this subsection, a victim who wishes to receive notification regarding a defendant who is committed to the Department of Corrections may file a request for notification of the defendant's release directly with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w:t>
        <w:t xml:space="preserve"> </w:t>
      </w:r>
      <w:r>
        <w:t xml:space="preserve"> </w:t>
      </w:r>
      <w:r>
        <w:t xml:space="preserve">The Department of Corrections or the state mental health institute or the county jail to which the defendant is committed shall keep the victim's written request for a notification under </w:t>
      </w:r>
      <w:r>
        <w:t>subsection 1</w:t>
      </w:r>
      <w:r>
        <w:t xml:space="preserve"> in the file of the defendant and shall notify the victim by mail of any impending release as soon as the release date is set or, if the defendant has escaped, by the quickest means reasonably practicable.  This notification must be mailed to the address provided in the request or any subsequent address provided by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Contents of notification upon release. </w:t>
        <w:t xml:space="preserve"> </w:t>
      </w:r>
      <w:r>
        <w:t xml:space="preserve"> </w:t>
      </w:r>
      <w:r>
        <w:t xml:space="preserve">If the defendant is being released, the notification required by this section must contain:</w:t>
      </w:r>
    </w:p>
    <w:p>
      <w:pPr>
        <w:jc w:val="both"/>
        <w:spacing w:before="100" w:after="0"/>
        <w:ind w:start="720"/>
      </w:pPr>
      <w:r>
        <w:rPr/>
        <w:t>A</w:t>
        <w:t xml:space="preserve">.  </w:t>
      </w:r>
      <w:r>
        <w:rPr/>
      </w:r>
      <w:r>
        <w:t xml:space="preserve">The name of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nature of the release authorized, whether it is a conditional release, including probation, supervised release for sex offenders, parole, furlough, work release, funeral or deathbed visit, supervised community confinement, home release monitoring or a similar program, administrative release or release under </w:t>
      </w:r>
      <w:r>
        <w:t>Title 15, section 104‑A</w:t>
      </w:r>
      <w:r>
        <w:t xml:space="preserve">, or an unconditional release and discharge upon release from commitment under </w:t>
      </w:r>
      <w:r>
        <w:t>Title 15, section 101‑D</w:t>
      </w:r>
      <w:r>
        <w:t xml:space="preserve"> or upon the expiration of a sentence or upon discharge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anticipated date of the defendant's release from institutional confinement and any date on which the defendant must return to institutional confinement,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geographic area to which the defendant's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address at which the defendant will reside;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address at which the defendant will work, if applicable.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Contents of notification upon escape. </w:t>
        <w:t xml:space="preserve"> </w:t>
      </w:r>
      <w:r>
        <w:t xml:space="preserve"> </w:t>
      </w:r>
      <w:r>
        <w:t xml:space="preserve">If the defendant has escaped, the notice required by this section must contain the name of the defendant, the manner of escape, the place from which the defendant escaped and the date of the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Termination of notification requirement. </w:t>
        <w:t xml:space="preserve"> </w:t>
      </w:r>
      <w:r>
        <w:t xml:space="preserve"> </w:t>
      </w:r>
      <w:r>
        <w:t xml:space="preserve">The notification requirement under this section ends when:</w:t>
      </w:r>
    </w:p>
    <w:p>
      <w:pPr>
        <w:jc w:val="both"/>
        <w:spacing w:before="100" w:after="0"/>
        <w:ind w:start="720"/>
      </w:pPr>
      <w:r>
        <w:rPr/>
        <w:t>A</w:t>
        <w:t xml:space="preserve">.  </w:t>
      </w:r>
      <w:r>
        <w:rPr/>
      </w:r>
      <w:r>
        <w:t xml:space="preserve">Notification has been provided of an unconditional release or discharge upon the expiration of the sentence or upon release under </w:t>
      </w:r>
      <w:r>
        <w:t>Title 15, section 101‑D</w:t>
      </w:r>
      <w:r>
        <w:t xml:space="preserve"> or upon discharge under </w:t>
      </w:r>
      <w:r>
        <w:t>Title 15, section 104‑A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victim has filed a written request for a notification under </w:t>
      </w:r>
      <w:r>
        <w:t>subsection 1</w:t>
      </w:r>
      <w:r>
        <w:t xml:space="preserve"> with the Department of Corrections or the state mental health institute or the county jail to which the defendant is committed asking that no further notification be given.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chapter nor compliance with this chapter subjects the attorney for the State, the Commissioner of Corrections, the Department of Corrections, the Commissioner of Health and Human Services, the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or the employees or officers of the attorney for the State, the Commissioner of Corrections, the Department of Corrections, the Commissioner of Health and Human Services, the state mental health institution for the care and treatment for persons with mental illness to which the defendant is committed by the Commissioner of Health and Human Services or the residential program that provides care and treatment for persons who have intellectual disabilities or autism to which the defendant is committed by the Commissioner of Health and Human Services or the county jail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§41 (AMD). PL 2021, c. 647, Pt. B, §65 (AFF). </w:t>
      </w:r>
    </w:p>
    <w:p>
      <w:pPr>
        <w:jc w:val="both"/>
        <w:spacing w:before="100" w:after="100"/>
        <w:ind w:start="1080" w:hanging="720"/>
      </w:pPr>
      <w:r>
        <w:rPr>
          <w:b/>
        </w:rPr>
        <w:t>§</w:t>
        <w:t>2107</w:t>
        <w:t xml:space="preserve">.  </w:t>
      </w:r>
      <w:r>
        <w:rPr>
          <w:b/>
        </w:rPr>
        <w:t xml:space="preserve">Notification of defendant's release on preconviction bail</w:t>
      </w:r>
    </w:p>
    <w:p>
      <w:pPr>
        <w:jc w:val="both"/>
        <w:spacing w:before="100" w:after="0"/>
        <w:ind w:start="360"/>
        <w:ind w:firstLine="360"/>
      </w:pPr>
      <w:r>
        <w:rPr>
          <w:b/>
        </w:rPr>
        <w:t>1</w:t>
        <w:t xml:space="preserve">.  </w:t>
      </w:r>
      <w:r>
        <w:rPr>
          <w:b/>
        </w:rPr>
        <w:t xml:space="preserve">Contact information for victim of certain crimes. </w:t>
        <w:t xml:space="preserve"> </w:t>
      </w:r>
      <w:r>
        <w:t xml:space="preserve"> </w:t>
      </w:r>
      <w:r>
        <w:t xml:space="preserve">In the case of an alleged crime involving domestic violence, sexual assault under </w:t>
      </w:r>
      <w:r>
        <w:t>chapter 11</w:t>
      </w:r>
      <w:r>
        <w:t xml:space="preserve"> or stalking, the arresting law enforcement officer shall obtain the victim's contact information and provide that information to the jail to which the defendant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Notification of victim of certain crimes by jail or law enforcement agency. </w:t>
        <w:t xml:space="preserve"> </w:t>
      </w:r>
      <w:r>
        <w:t xml:space="preserve"> </w:t>
      </w:r>
      <w:r>
        <w:t xml:space="preserve">In a case of an alleged crime involving domestic violence, sexual assault under </w:t>
      </w:r>
      <w:r>
        <w:t>chapter 11</w:t>
      </w:r>
      <w:r>
        <w:t xml:space="preserve"> or stalking, the jail to which the defendant is delivered shall notify the victim of the defendant's release on preconviction bail under </w:t>
      </w:r>
      <w:r>
        <w:t>Title 15, chapter 105‑A</w:t>
      </w:r>
      <w:r>
        <w:t xml:space="preserve"> as soon as possible but no later than one hour after the defendant's release.  If the defendant is released on preconviction bail before being delivered to a jail, the arresting law enforcement agency shall notify the victim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Method of notification. </w:t>
        <w:t xml:space="preserve"> </w:t>
      </w:r>
      <w:r>
        <w:t xml:space="preserve"> </w:t>
      </w:r>
      <w:r>
        <w:t xml:space="preserve">Notification under </w:t>
      </w:r>
      <w:r>
        <w:t>subsection 2</w:t>
      </w:r>
      <w:r>
        <w:t xml:space="preserve"> must be made by a telephone call either directly to the victim or as provided in </w:t>
      </w:r>
      <w:r>
        <w:t>subsection 5</w:t>
      </w:r>
      <w:r>
        <w:t xml:space="preserve">.  In the event that the jail has not succeeded in contacting the victim after the jail has exercised due diligence in attempting to contact the victim, notification of the defendant's release must be made to the law enforcement agency that investigated the report of domestic violence, sexual assault under </w:t>
      </w:r>
      <w:r>
        <w:t>chapter 11</w:t>
      </w:r>
      <w:r>
        <w:t xml:space="preserve"> or stalking.  That law enforcement agency shall make a reasonable attempt to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Request by victim to not be notified. </w:t>
        <w:t xml:space="preserve"> </w:t>
      </w:r>
      <w:r>
        <w:t xml:space="preserve"> </w:t>
      </w:r>
      <w:r>
        <w:t xml:space="preserve">Notwithstanding </w:t>
      </w:r>
      <w:r>
        <w:t>subsection 2</w:t>
      </w:r>
      <w:r>
        <w:t xml:space="preserve">, a victim of an alleged crime described in </w:t>
      </w:r>
      <w:r>
        <w:t>subsection 1</w:t>
      </w:r>
      <w:r>
        <w:t xml:space="preserve"> may request in writing that the jail or arresting law enforcement agency not notify the victim of the defendant's release on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Notification based on age of victim. </w:t>
        <w:t xml:space="preserve"> </w:t>
      </w:r>
      <w:r>
        <w:t xml:space="preserve"> </w:t>
      </w:r>
      <w:r>
        <w:t xml:space="preserve">Notification under this section to an adult victim must be made to the victim. Notification to a minor victim must be made to an adult who is the victim's parent or legal guardian or, if a parent or legal guardian is not available, to another immediate family member of the victim unless the jail or arresting law enforcement agency reasonably believes that it is in the best interest of the minor victim to be notified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Liability. </w:t>
        <w:t xml:space="preserve"> </w:t>
      </w:r>
      <w:r>
        <w:t xml:space="preserve"> </w:t>
      </w:r>
      <w:r>
        <w:t xml:space="preserve">Neither the failure to perform the requirements of this section nor compliance with this section subjects the State, the arresting law enforcement agency, the jail to which the defendant was delivered, the Department of Corrections or officers or employees of the law enforcement agency, jail or Department of Corrections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r>
      <w:r>
        <w:rPr/>
      </w:r>
      <w:r>
        <w:t xml:space="preserve">For purposes of this section, "crime involving domestic violence" has the same meaning as in </w:t>
      </w:r>
      <w:r>
        <w:t>Title 15, section 1003, subsection 3‑A</w:t>
      </w:r>
      <w:r>
        <w:t xml:space="preserve"> and includes those crimes under </w:t>
      </w:r>
      <w:r>
        <w:t>section 152, subsection 1, paragraph A</w:t>
      </w:r>
      <w:r>
        <w:t xml:space="preserve">, </w:t>
      </w:r>
      <w:r>
        <w:t>section 208</w:t>
      </w:r>
      <w:r>
        <w:t xml:space="preserve"> and </w:t>
      </w:r>
      <w:r>
        <w:t>section 208‑B</w:t>
      </w:r>
      <w:r>
        <w:t xml:space="preserve"> when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§42 (AMD). PL 2021, c. 647, Pt. B, §65 (AFF). PL 2023, c. 465, §18 (AMD). </w:t>
      </w:r>
    </w:p>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75.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