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54-E</w:t>
      </w:r>
    </w:p>
    <w:p>
      <w:pPr>
        <w:jc w:val="center"/>
        <w:ind w:start="360"/>
        <w:spacing w:before="300" w:after="300"/>
      </w:pPr>
      <w:r>
        <w:rPr>
          <w:b/>
        </w:rPr>
        <w:t xml:space="preserve">VIOLATION OF INTERSTATE COMPACT</w:t>
      </w:r>
    </w:p>
    <w:p>
      <w:pPr>
        <w:jc w:val="both"/>
        <w:spacing w:before="100" w:after="100"/>
        <w:ind w:start="1080" w:hanging="720"/>
      </w:pPr>
      <w:r>
        <w:rPr>
          <w:b/>
        </w:rPr>
        <w:t>§</w:t>
        <w:t>1347</w:t>
        <w:t xml:space="preserve">.  </w:t>
      </w:r>
      <w:r>
        <w:rPr>
          <w:b/>
        </w:rPr>
        <w:t xml:space="preserve">Violation of interstate compact for adult offender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158, §1 (NEW). PL 2003, c. 706,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54-E. VIOLATION OF INTERSTATE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54-E. VIOLATION OF INTERSTATE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54-E. VIOLATION OF INTERSTATE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