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Use of depositions</w:t>
      </w:r>
    </w:p>
    <w:p>
      <w:pPr>
        <w:jc w:val="both"/>
        <w:spacing w:before="100" w:after="100"/>
        <w:ind w:start="360"/>
        <w:ind w:firstLine="360"/>
      </w:pPr>
      <w:r>
        <w:rPr/>
      </w:r>
      <w:r>
        <w:rPr/>
      </w:r>
      <w:r>
        <w:t xml:space="preserve">In trials before probate courts, arbitrators, referees under </w:t>
      </w:r>
      <w:r>
        <w:t>Title 14, chapter 303</w:t>
      </w:r>
      <w:r>
        <w:t xml:space="preserve">, and county commissioners, depositions may, upon order of the tribunal before which the matter is pending and on good cause shown, be taken and used in the manner provided by rule for depositions in the Superior Court. Depositions or affidavits may be taken in applications for pensions, bounties or arrears of pay under any law of the United States.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 Use of depositions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Use of depositions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§551. USE OF DEPOSITIONS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