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402</w:t>
        <w:t xml:space="preserve">.  </w:t>
      </w:r>
      <w:r>
        <w:rPr>
          <w:b/>
        </w:rPr>
        <w:t xml:space="preserve">Common law and statutes</w:t>
      </w:r>
    </w:p>
    <w:p>
      <w:pPr>
        <w:jc w:val="both"/>
        <w:spacing w:before="100" w:after="100"/>
        <w:ind w:start="360"/>
        <w:ind w:firstLine="360"/>
      </w:pPr>
      <w:r>
        <w:rPr/>
      </w:r>
      <w:r>
        <w:rPr/>
      </w:r>
      <w:r>
        <w:t xml:space="preserve">Every court of this State shall take judicial notice of the common law and statutes of every state, territory and other jurisdiction of the United States.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§402. Common law and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§402. Common law and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§402. COMMON LAW AND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