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Oaths</w:t>
      </w:r>
    </w:p>
    <w:p>
      <w:pPr>
        <w:jc w:val="both"/>
        <w:spacing w:before="100" w:after="100"/>
        <w:ind w:start="360"/>
        <w:ind w:firstLine="360"/>
      </w:pPr>
      <w:r>
        <w:rPr/>
      </w:r>
      <w:r>
        <w:rPr/>
      </w:r>
      <w:r>
        <w:t xml:space="preserve">A person to whom an oath is administered shall hold up his hand unless he believes that an oath administered in that form is not binding, and then it may be administered in a form believed by him to be binding. One believing any other than the Christian religion may be sworn according to the ceremonies of his religion.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§151.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