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Arrest warrants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Arrest warrants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§3202. ARREST WARRANTS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