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Warrant for arrest recalled or another issued</w:t>
      </w:r>
    </w:p>
    <w:p>
      <w:pPr>
        <w:jc w:val="both"/>
        <w:spacing w:before="100" w:after="100"/>
        <w:ind w:start="360"/>
        <w:ind w:firstLine="360"/>
      </w:pPr>
      <w:r>
        <w:rPr/>
      </w:r>
      <w:r>
        <w:rPr/>
      </w:r>
      <w:r>
        <w:t xml:space="preserve">The Governor may recall the Governor's warrant of arrest or may issue another warrant whenever the Governor considers it proper.</w:t>
      </w:r>
      <w:r>
        <w:t xml:space="preserve">  </w:t>
      </w:r>
      <w:r xmlns:wp="http://schemas.openxmlformats.org/drawingml/2010/wordprocessingDrawing" xmlns:w15="http://schemas.microsoft.com/office/word/2012/wordml">
        <w:rPr>
          <w:rFonts w:ascii="Arial" w:hAnsi="Arial" w:cs="Arial"/>
          <w:sz w:val="22"/>
          <w:szCs w:val="22"/>
        </w:rPr>
        <w:t xml:space="preserve">[RR 2023, c. 2, Pt. D,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 Warrant for arrest recalled or another issued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Warrant for arrest recalled or another issued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 WARRANT FOR ARREST RECALLED OR ANOTHER ISSUED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