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References to pardoned crime deleted from Federal Bureau of Investigation's identification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§2167. REFERENCES TO PARDONED CRIME DELETED FROM FEDERAL BUREAU OF INVESTIGATION'S IDENTIFICATION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