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2125</w:t>
        <w:t xml:space="preserve">.  </w:t>
      </w:r>
      <w:r>
        <w:rPr>
          <w:b/>
        </w:rPr>
        <w:t xml:space="preserve">Ground for relief</w:t>
      </w:r>
    </w:p>
    <w:p>
      <w:pPr>
        <w:jc w:val="both"/>
        <w:spacing w:before="100" w:after="100"/>
        <w:ind w:start="360"/>
        <w:ind w:firstLine="360"/>
      </w:pPr>
      <w:r>
        <w:rPr/>
      </w:r>
      <w:r>
        <w:rPr/>
      </w:r>
      <w:r>
        <w:t xml:space="preserve">A person who satisfies the prerequisites of </w:t>
      </w:r>
      <w:r>
        <w:t>section 2124</w:t>
      </w:r>
      <w:r>
        <w:t xml:space="preserve"> may show that the challenged criminal judgment or sentence is unlawful or unlawfully imposed, or that the impediment resulting from the challenged post-sentencing proceeding is unlawful, as a result of any error or ground for relief, whether or not of record, unless the error is harmless or unless relief is unavailable for a reason provided in </w:t>
      </w:r>
      <w:r>
        <w:t>section 2126</w:t>
      </w:r>
      <w:r>
        <w:t xml:space="preserve">, </w:t>
      </w:r>
      <w:r>
        <w:t>section 2128</w:t>
      </w:r>
      <w:r>
        <w:t xml:space="preserve"> unless </w:t>
      </w:r>
      <w:r>
        <w:t>section 2128‑A</w:t>
      </w:r>
      <w:r>
        <w:t xml:space="preserve"> applies, or </w:t>
      </w:r>
      <w:r>
        <w:t>section 2128‑B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266,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§15 (NEW). PL 1981, c. 238, §2 (AMD). PL 2011, c. 601, §8 (AMD). PL 2013, c. 266,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§2125. Ground for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§2125. Ground for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§2125. GROUND FOR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