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w:t>
      </w:r>
      <w:r>
        <w:t>section 201, subsection 4, paragraph A</w:t>
      </w:r>
      <w:r>
        <w:t xml:space="preserve">. The allegation shall be sufficient if it alleges that the accused was present in the demanding state at the time of the commission of the alleged crime and that he thereafter left the demanding state; or that he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§1-B (AMD).]</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Form of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Form of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 FORM OF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