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Applicability and exclusions</w:t>
      </w:r>
    </w:p>
    <w:p>
      <w:pPr>
        <w:jc w:val="both"/>
        <w:spacing w:before="100" w:after="100"/>
        <w:ind w:start="360"/>
        <w:ind w:firstLine="360"/>
      </w:pPr>
      <w:r>
        <w:rPr/>
      </w:r>
      <w:r>
        <w:rPr/>
      </w:r>
      <w:r>
        <w:t xml:space="preserve">This chapter applies to the setting of bail for a defendant in a criminal proceeding, including the setting of bail for an alleged contemnor in a plenary contempt proceeding involving a punitive sanction under the Maine Rules of Civil Procedure, Rule 66.  It does not apply to the setting of bail in extradition proceedings under </w:t>
      </w:r>
      <w:r>
        <w:t>sections 201</w:t>
      </w:r>
      <w:r>
        <w:t xml:space="preserve"> to </w:t>
      </w:r>
      <w:r>
        <w:t>229</w:t>
      </w:r>
      <w:r>
        <w:t xml:space="preserve">, post-conviction review proceedings under </w:t>
      </w:r>
      <w:r>
        <w:t>sections 2121</w:t>
      </w:r>
      <w:r>
        <w:t xml:space="preserve"> to </w:t>
      </w:r>
      <w:r>
        <w:t>2132</w:t>
      </w:r>
      <w:r>
        <w:t xml:space="preserve">, probation revocation proceedings under </w:t>
      </w:r>
      <w:r>
        <w:t>Title 17‑A, sections 1809</w:t>
      </w:r>
      <w:r>
        <w:t xml:space="preserve"> to </w:t>
      </w:r>
      <w:r>
        <w:t>1814</w:t>
      </w:r>
      <w:r>
        <w:t xml:space="preserve">, supervised release revocation proceedings under </w:t>
      </w:r>
      <w:r>
        <w:t>Title 17‑A, section 1883</w:t>
      </w:r>
      <w:r>
        <w:t xml:space="preserve"> or administrative release revocation proceedings under </w:t>
      </w:r>
      <w:r>
        <w:t>Title 17‑A, sections 1851</w:t>
      </w:r>
      <w:r>
        <w:t xml:space="preserve"> to </w:t>
      </w:r>
      <w:r>
        <w:t>1857</w:t>
      </w:r>
      <w:r>
        <w:t xml:space="preserve">, except to the extent and under the conditions stated in those sections.  This chapter applies to the setting of bail for an alleged contemnor in a summary contempt proceeding involving a punitive sanction under the Maine Rules of Civil Procedure, Rule 66 and to the setting of bail relative to a material witness only as specified in </w:t>
      </w:r>
      <w:r>
        <w:t>sections 1103</w:t>
      </w:r>
      <w:r>
        <w:t xml:space="preserve"> and </w:t>
      </w:r>
      <w:r>
        <w:t>1104</w:t>
      </w:r>
      <w:r>
        <w:t xml:space="preserve">, respectively.  This chapter does not apply to a person arrested for a juvenile crime as defined in </w:t>
      </w:r>
      <w:r>
        <w:t>section 3103</w:t>
      </w:r>
      <w:r>
        <w:t xml:space="preserve"> or a person under 18 years of age who is arrested for a crime defined under </w:t>
      </w:r>
      <w:r>
        <w:t>Title 12</w:t>
      </w:r>
      <w:r>
        <w:t xml:space="preserve"> or </w:t>
      </w:r>
      <w:r>
        <w:t>Title 29‑A</w:t>
      </w:r>
      <w:r>
        <w:t xml:space="preserve"> that is not a juvenile crime as defined in </w:t>
      </w:r>
      <w:r>
        <w:t>section 3103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C,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1997, c. 317, §A1 (AMD). PL 1999, c. 788, §1 (AMD). PL 2003, c. 711, §A3 (AMD). PL 2005, c. 507, §4 (AMD). PL 2007, c. 552, §1 (AMD). PL 2011, c. 336, §1 (AMD). PL 2015, c. 431, §11 (AMD). PL 2019, c. 113, Pt. C,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§1004. Applicability and exclusions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Applicability and exclusions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§1004. APPLICABILITY AND EXCLUSIONS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