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8006</w:t>
        <w:t xml:space="preserve">.  </w:t>
      </w:r>
      <w:r>
        <w:rPr>
          <w:b/>
        </w:rPr>
        <w:t xml:space="preserve">Fees</w:t>
      </w:r>
    </w:p>
    <w:p>
      <w:pPr>
        <w:jc w:val="both"/>
        <w:spacing w:before="100" w:after="0"/>
        <w:ind w:start="360"/>
        <w:ind w:firstLine="360"/>
      </w:pPr>
      <w:r>
        <w:rPr>
          <w:b/>
        </w:rPr>
        <w:t>1</w:t>
        <w:t xml:space="preserve">.  </w:t>
      </w:r>
      <w:r>
        <w:rPr>
          <w:b/>
        </w:rPr>
        <w:t xml:space="preserve">Filing a foreign judgment.</w:t>
        <w:t xml:space="preserve"> </w:t>
      </w:r>
      <w:r>
        <w:t xml:space="preserve"> </w:t>
      </w:r>
      <w:r>
        <w:t xml:space="preserve">Except as provided in </w:t>
      </w:r>
      <w:r>
        <w:t>subsection 2</w:t>
      </w:r>
      <w:r>
        <w:t xml:space="preserve">, a person filing a foreign judgment shall pay to the clerk of courts the fee then provided for the entry of an action. Fees for docketing, transcription or other enforcement proceedings are as provided for judgments of the District Court or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§2 (NEW).]</w:t>
      </w:r>
    </w:p>
    <w:p>
      <w:pPr>
        <w:jc w:val="both"/>
        <w:spacing w:before="100" w:after="0"/>
        <w:ind w:start="360"/>
        <w:ind w:firstLine="360"/>
      </w:pPr>
      <w:r>
        <w:rPr>
          <w:b/>
        </w:rPr>
        <w:t>2</w:t>
        <w:t xml:space="preserve">.  </w:t>
      </w:r>
      <w:r>
        <w:rPr>
          <w:b/>
        </w:rPr>
        <w:t xml:space="preserve">Exception.</w:t>
        <w:t xml:space="preserve"> </w:t>
      </w:r>
      <w:r>
        <w:t xml:space="preserve"> </w:t>
      </w:r>
      <w:r>
        <w:t xml:space="preserve">A fee may not be charged for the registration, docketing, transcription or other enforcement proceedings of a foreign judgment or order that qualifies as a protection order as defined by 18 United States Code, Section 2266 or is the equivalent of a protection from abuse order under </w:t>
      </w:r>
      <w:r>
        <w:t>Title 19‑A, Part 4</w:t>
      </w:r>
      <w:r>
        <w:t xml:space="preserve"> or a protection from harassment order under </w:t>
      </w:r>
      <w:r>
        <w:t>Title 5, chapter 337‑A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