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7561</w:t>
        <w:t xml:space="preserve">.  </w:t>
      </w:r>
      <w:r>
        <w:rPr>
          <w:b/>
        </w:rPr>
        <w:t xml:space="preserve">Liability of executors or administrators</w:t>
      </w:r>
    </w:p>
    <w:p>
      <w:pPr>
        <w:jc w:val="both"/>
        <w:spacing w:before="100" w:after="100"/>
        <w:ind w:start="360"/>
        <w:ind w:firstLine="360"/>
      </w:pPr>
      <w:r>
        <w:rPr/>
      </w:r>
      <w:r>
        <w:rPr/>
      </w:r>
      <w:r>
        <w:t xml:space="preserve">If such executor or administrator, being heir or devisee, commits such trespass or waste, on proof thereof before the judge of probate, he shall be liable to the same extent as the heirs or devisees. In both cases, the damages, when recovered by the executor or administrator or adjudged against him by the judge of probate, shall be accounted for in the administration account.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§7561. Liability of executors or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§7561. Liability of executors or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§7561. LIABILITY OF EXECUTORS OR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