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7404</w:t>
        <w:t xml:space="preserve">.  </w:t>
      </w:r>
      <w:r>
        <w:rPr>
          <w:b/>
        </w:rPr>
        <w:t xml:space="preserve">Judgment; distraint lawful</w:t>
      </w:r>
    </w:p>
    <w:p>
      <w:pPr>
        <w:jc w:val="both"/>
        <w:spacing w:before="100" w:after="100"/>
        <w:ind w:start="360"/>
        <w:ind w:firstLine="360"/>
      </w:pPr>
      <w:r>
        <w:rPr/>
      </w:r>
      <w:r>
        <w:rPr/>
      </w:r>
      <w:r>
        <w:t xml:space="preserve">If it appears that the beasts were lawfully taken or distrained, the defendant shall have judgment for the sum found due from the plaintiff for the damages for which the beasts were distrained, with legal fees, costs and expenses occasioned by the distress and costs of the replevin action; or, instead thereof, the court may enter judgment for a return of the beasts to the defendant, to be held by him for the original purpose, irrepleviable by the plaintiff, and for the defendant's damages and costs in the replevin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§7404. Judgment; distraint lawful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§7404. Judgment; distraint lawful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§7404. JUDGMENT; DISTRAINT LAWFUL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