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§7356. Defendant entitled to custody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§7356. DEFENDANT ENTITLED TO CUSTODY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