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7209</w:t>
        <w:t xml:space="preserve">.  </w:t>
      </w:r>
      <w:r>
        <w:rPr>
          <w:b/>
        </w:rPr>
        <w:t xml:space="preserve">Information; notice</w:t>
      </w:r>
    </w:p>
    <w:p>
      <w:pPr>
        <w:jc w:val="both"/>
        <w:spacing w:before="100" w:after="100"/>
        <w:ind w:start="360"/>
        <w:ind w:firstLine="360"/>
      </w:pPr>
      <w:r>
        <w:rPr/>
      </w:r>
      <w:r>
        <w:rPr/>
      </w:r>
      <w:r>
        <w:t xml:space="preserve">In all other cases where an inquest is necessary, the Attorney General, without order of the Legislature, may file an information in said court describing the estate claimed and stating the title asserted thereto by the State. Notice shall be given as before mentioned if there is any tenant in possession; if not, the notice shall be given as the court orders at least 90 days before the sitting of the court to which it is returnable.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§7209. Information;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§7209. Information;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§7209. INFORMATION;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