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7156</w:t>
        <w:t xml:space="preserve">.  </w:t>
      </w:r>
      <w:r>
        <w:rPr>
          <w:b/>
        </w:rPr>
        <w:t xml:space="preserve">Bond on seizure</w:t>
      </w:r>
    </w:p>
    <w:p>
      <w:pPr>
        <w:jc w:val="both"/>
        <w:spacing w:before="100" w:after="100"/>
        <w:ind w:start="360"/>
        <w:ind w:firstLine="360"/>
      </w:pPr>
      <w:r>
        <w:rPr/>
      </w:r>
      <w:r>
        <w:rPr/>
      </w:r>
      <w:r>
        <w:t xml:space="preserve">When there is a claimant, the court may order the party seizing to give bond to him with sufficient surety for the safekeeping of the property seized, compliance with the order of court for restoration, and the payment of costs and damages, if not forfeited, and may hear and determine the cause by a jury, or without, if the parties agree, and may allow costs against the claimant. If there is no claimant, the court shall order the forfeiture and disposal of the property according to law, and a sale and distribution of the proceeds, after deducting all proper charges.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§7156. Bond on seizure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§7156. Bond on seizure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§7156. BOND ON SEIZURE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