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7105</w:t>
        <w:t xml:space="preserve">.  </w:t>
      </w:r>
      <w:r>
        <w:rPr>
          <w:b/>
        </w:rPr>
        <w:t xml:space="preserve">Claimant may sue at common law; disclosure</w:t>
      </w:r>
    </w:p>
    <w:p>
      <w:pPr>
        <w:jc w:val="both"/>
        <w:spacing w:before="100" w:after="100"/>
        <w:ind w:start="360"/>
        <w:ind w:firstLine="360"/>
      </w:pPr>
      <w:r>
        <w:rPr/>
      </w:r>
      <w:r>
        <w:rPr/>
      </w:r>
      <w:r>
        <w:t xml:space="preserve">The claimant may have his suit at common law against such attorney before filing such motion or after an adverse decision thereon. If judgment is recovered against the attorney in either mode, the fact shall be noted on the margin of the execution issued thereon. When the debtor is arrested thereon, he shall be committed to jail and no citation to disclose shall be issued until he has been there for 90 days.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§7105. Claimant may sue at common law; disclosure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§7105. Claimant may sue at common law; disclosure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§7105. CLAIMANT MAY SUE AT COMMON LAW; DISCLOSURE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